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page" w:horzAnchor="margin" w:tblpY="226"/>
        <w:tblW w:w="9810" w:type="dxa"/>
        <w:tblLayout w:type="fixed"/>
        <w:tblLook w:val="0400" w:firstRow="0" w:lastRow="0" w:firstColumn="0" w:lastColumn="0" w:noHBand="0" w:noVBand="1"/>
      </w:tblPr>
      <w:tblGrid>
        <w:gridCol w:w="9810"/>
      </w:tblGrid>
      <w:tr w:rsidR="00984D10" w14:paraId="7A669B98" w14:textId="77777777" w:rsidTr="00663A1A">
        <w:trPr>
          <w:trHeight w:val="744"/>
        </w:trPr>
        <w:tc>
          <w:tcPr>
            <w:tcW w:w="9809" w:type="dxa"/>
          </w:tcPr>
          <w:p w14:paraId="1F409D2A" w14:textId="77777777" w:rsidR="00984D10" w:rsidRDefault="00984D10" w:rsidP="00663A1A">
            <w:pPr>
              <w:rPr>
                <w:b/>
                <w:lang w:val="ru-RU"/>
              </w:rPr>
            </w:pPr>
          </w:p>
          <w:p w14:paraId="0CDA12D4" w14:textId="77777777" w:rsidR="00984D10" w:rsidRDefault="00984D10" w:rsidP="00663A1A">
            <w:pPr>
              <w:jc w:val="right"/>
              <w:rPr>
                <w:b/>
                <w:bCs/>
                <w:i/>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5908"/>
              <w:gridCol w:w="1682"/>
            </w:tblGrid>
            <w:tr w:rsidR="00984D10" w14:paraId="0F45CC73" w14:textId="77777777" w:rsidTr="00663A1A">
              <w:trPr>
                <w:trHeight w:val="998"/>
              </w:trPr>
              <w:tc>
                <w:tcPr>
                  <w:tcW w:w="1936" w:type="dxa"/>
                  <w:tcBorders>
                    <w:top w:val="nil"/>
                    <w:left w:val="nil"/>
                    <w:bottom w:val="nil"/>
                    <w:right w:val="nil"/>
                  </w:tcBorders>
                  <w:hideMark/>
                </w:tcPr>
                <w:p w14:paraId="2510F5D5" w14:textId="77777777" w:rsidR="00984D10" w:rsidRDefault="00984D10" w:rsidP="00C87617">
                  <w:pPr>
                    <w:framePr w:hSpace="180" w:wrap="around" w:vAnchor="page" w:hAnchor="margin" w:y="226"/>
                    <w:rPr>
                      <w:b/>
                      <w:bCs/>
                      <w:i/>
                      <w:iCs/>
                      <w:color w:val="000000"/>
                      <w:sz w:val="24"/>
                      <w:szCs w:val="24"/>
                    </w:rPr>
                  </w:pPr>
                  <w:r>
                    <w:rPr>
                      <w:b/>
                      <w:noProof/>
                      <w:sz w:val="24"/>
                      <w:szCs w:val="24"/>
                    </w:rPr>
                    <w:t xml:space="preserve">    </w:t>
                  </w:r>
                  <w:r>
                    <w:rPr>
                      <w:b/>
                      <w:noProof/>
                      <w:sz w:val="24"/>
                      <w:szCs w:val="24"/>
                    </w:rPr>
                    <w:drawing>
                      <wp:inline distT="0" distB="0" distL="0" distR="0" wp14:anchorId="0290FD60" wp14:editId="0F550F17">
                        <wp:extent cx="590550" cy="638175"/>
                        <wp:effectExtent l="0" t="0" r="0" b="9525"/>
                        <wp:docPr id="2" name="Рисунок 2" descr="STEMA DE STAT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TEMA DE STAT_R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38175"/>
                                </a:xfrm>
                                <a:prstGeom prst="rect">
                                  <a:avLst/>
                                </a:prstGeom>
                                <a:noFill/>
                                <a:ln>
                                  <a:noFill/>
                                </a:ln>
                              </pic:spPr>
                            </pic:pic>
                          </a:graphicData>
                        </a:graphic>
                      </wp:inline>
                    </w:drawing>
                  </w:r>
                </w:p>
              </w:tc>
              <w:tc>
                <w:tcPr>
                  <w:tcW w:w="5908" w:type="dxa"/>
                  <w:tcBorders>
                    <w:top w:val="nil"/>
                    <w:left w:val="nil"/>
                    <w:bottom w:val="nil"/>
                    <w:right w:val="nil"/>
                  </w:tcBorders>
                </w:tcPr>
                <w:p w14:paraId="16B3A34E" w14:textId="77777777" w:rsidR="00984D10" w:rsidRDefault="00984D10" w:rsidP="00C87617">
                  <w:pPr>
                    <w:framePr w:hSpace="180" w:wrap="around" w:vAnchor="page" w:hAnchor="margin" w:y="226"/>
                    <w:jc w:val="center"/>
                    <w:rPr>
                      <w:b/>
                      <w:bCs/>
                      <w:color w:val="000000"/>
                      <w:sz w:val="24"/>
                      <w:szCs w:val="24"/>
                    </w:rPr>
                  </w:pPr>
                </w:p>
                <w:p w14:paraId="048CA049" w14:textId="77777777" w:rsidR="00984D10" w:rsidRDefault="00984D10" w:rsidP="00C87617">
                  <w:pPr>
                    <w:framePr w:hSpace="180" w:wrap="around" w:vAnchor="page" w:hAnchor="margin" w:y="226"/>
                    <w:jc w:val="center"/>
                    <w:rPr>
                      <w:b/>
                      <w:bCs/>
                      <w:color w:val="000000"/>
                      <w:sz w:val="24"/>
                      <w:szCs w:val="24"/>
                    </w:rPr>
                  </w:pPr>
                  <w:r>
                    <w:rPr>
                      <w:b/>
                      <w:bCs/>
                      <w:color w:val="000000"/>
                      <w:sz w:val="24"/>
                      <w:szCs w:val="24"/>
                    </w:rPr>
                    <w:t>REPUBLICA MOLDOVA</w:t>
                  </w:r>
                </w:p>
                <w:p w14:paraId="21EDC5CC" w14:textId="77777777" w:rsidR="00984D10" w:rsidRDefault="00984D10" w:rsidP="00C87617">
                  <w:pPr>
                    <w:framePr w:hSpace="180" w:wrap="around" w:vAnchor="page" w:hAnchor="margin" w:y="226"/>
                    <w:jc w:val="center"/>
                    <w:rPr>
                      <w:sz w:val="24"/>
                      <w:szCs w:val="24"/>
                    </w:rPr>
                  </w:pPr>
                  <w:r>
                    <w:rPr>
                      <w:b/>
                      <w:bCs/>
                      <w:color w:val="000000"/>
                      <w:sz w:val="24"/>
                      <w:szCs w:val="24"/>
                    </w:rPr>
                    <w:t>RAION</w:t>
                  </w:r>
                  <w:r>
                    <w:rPr>
                      <w:b/>
                      <w:bCs/>
                      <w:color w:val="000000"/>
                      <w:sz w:val="24"/>
                      <w:szCs w:val="24"/>
                      <w:lang w:val="ro-MD"/>
                    </w:rPr>
                    <w:t>U</w:t>
                  </w:r>
                  <w:r>
                    <w:rPr>
                      <w:b/>
                      <w:bCs/>
                      <w:color w:val="000000"/>
                      <w:sz w:val="24"/>
                      <w:szCs w:val="24"/>
                    </w:rPr>
                    <w:t>L ȘTEFAN VODĂ</w:t>
                  </w:r>
                </w:p>
                <w:p w14:paraId="39C9DC35" w14:textId="77777777" w:rsidR="00984D10" w:rsidRDefault="00984D10" w:rsidP="00C87617">
                  <w:pPr>
                    <w:framePr w:hSpace="180" w:wrap="around" w:vAnchor="page" w:hAnchor="margin" w:y="226"/>
                    <w:jc w:val="center"/>
                    <w:rPr>
                      <w:b/>
                      <w:bCs/>
                      <w:i/>
                      <w:iCs/>
                      <w:color w:val="000000"/>
                      <w:sz w:val="24"/>
                      <w:szCs w:val="24"/>
                    </w:rPr>
                  </w:pPr>
                  <w:r>
                    <w:rPr>
                      <w:b/>
                      <w:bCs/>
                      <w:color w:val="000000"/>
                      <w:sz w:val="24"/>
                      <w:szCs w:val="24"/>
                    </w:rPr>
                    <w:t>CONSILIUL RAIONAL ȘTEFAN VODĂ</w:t>
                  </w:r>
                </w:p>
              </w:tc>
              <w:tc>
                <w:tcPr>
                  <w:tcW w:w="1682" w:type="dxa"/>
                  <w:tcBorders>
                    <w:top w:val="nil"/>
                    <w:left w:val="nil"/>
                    <w:bottom w:val="nil"/>
                    <w:right w:val="nil"/>
                  </w:tcBorders>
                  <w:hideMark/>
                </w:tcPr>
                <w:p w14:paraId="1011A078" w14:textId="77777777" w:rsidR="00984D10" w:rsidRDefault="00984D10" w:rsidP="00C87617">
                  <w:pPr>
                    <w:framePr w:hSpace="180" w:wrap="around" w:vAnchor="page" w:hAnchor="margin" w:y="226"/>
                    <w:ind w:left="-137"/>
                    <w:jc w:val="right"/>
                    <w:rPr>
                      <w:b/>
                      <w:bCs/>
                      <w:i/>
                      <w:iCs/>
                      <w:color w:val="000000"/>
                      <w:sz w:val="24"/>
                      <w:szCs w:val="24"/>
                    </w:rPr>
                  </w:pPr>
                  <w:r>
                    <w:rPr>
                      <w:b/>
                      <w:noProof/>
                      <w:color w:val="000000"/>
                      <w:sz w:val="24"/>
                      <w:szCs w:val="24"/>
                    </w:rPr>
                    <w:drawing>
                      <wp:inline distT="0" distB="0" distL="0" distR="0" wp14:anchorId="4D309636" wp14:editId="5BFF7094">
                        <wp:extent cx="409575" cy="581025"/>
                        <wp:effectExtent l="0" t="0" r="9525" b="9525"/>
                        <wp:docPr id="1" name="Рисунок 1" descr="Stema raionului Stefan 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raionului Stefan Vo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581025"/>
                                </a:xfrm>
                                <a:prstGeom prst="rect">
                                  <a:avLst/>
                                </a:prstGeom>
                                <a:noFill/>
                                <a:ln>
                                  <a:noFill/>
                                </a:ln>
                              </pic:spPr>
                            </pic:pic>
                          </a:graphicData>
                        </a:graphic>
                      </wp:inline>
                    </w:drawing>
                  </w:r>
                </w:p>
              </w:tc>
            </w:tr>
          </w:tbl>
          <w:p w14:paraId="03C11BBE" w14:textId="77777777" w:rsidR="00984D10" w:rsidRDefault="00984D10" w:rsidP="00663A1A">
            <w:pPr>
              <w:pBdr>
                <w:bottom w:val="single" w:sz="12" w:space="1" w:color="auto"/>
              </w:pBdr>
              <w:rPr>
                <w:b/>
                <w:bCs/>
                <w:i/>
                <w:iCs/>
                <w:color w:val="000000"/>
                <w:sz w:val="24"/>
                <w:szCs w:val="24"/>
                <w:lang w:val="ro-MD"/>
              </w:rPr>
            </w:pPr>
          </w:p>
          <w:p w14:paraId="2251F1D6" w14:textId="77777777" w:rsidR="00984D10" w:rsidRDefault="00984D10" w:rsidP="00663A1A">
            <w:pPr>
              <w:jc w:val="center"/>
              <w:rPr>
                <w:color w:val="000000"/>
                <w:sz w:val="20"/>
                <w:szCs w:val="20"/>
              </w:rPr>
            </w:pPr>
            <w:r>
              <w:rPr>
                <w:sz w:val="20"/>
                <w:szCs w:val="20"/>
              </w:rPr>
              <w:t xml:space="preserve">MD–4201, or. ŞtefanVodă, str. Libertăţii, nr. 1, tel. (242) 226-50, </w:t>
            </w:r>
            <w:r>
              <w:rPr>
                <w:color w:val="000000"/>
                <w:sz w:val="20"/>
                <w:szCs w:val="20"/>
              </w:rPr>
              <w:t xml:space="preserve">tel/fax (242) 234-10, </w:t>
            </w:r>
          </w:p>
          <w:p w14:paraId="3CB75FDB" w14:textId="77777777" w:rsidR="00984D10" w:rsidRDefault="00984D10" w:rsidP="00663A1A">
            <w:pPr>
              <w:pBdr>
                <w:bottom w:val="single" w:sz="12" w:space="1" w:color="auto"/>
              </w:pBdr>
              <w:jc w:val="center"/>
              <w:rPr>
                <w:color w:val="0000FF"/>
                <w:sz w:val="20"/>
                <w:szCs w:val="20"/>
                <w:u w:val="single"/>
              </w:rPr>
            </w:pPr>
            <w:r>
              <w:rPr>
                <w:color w:val="000000"/>
                <w:sz w:val="20"/>
                <w:szCs w:val="20"/>
              </w:rPr>
              <w:t xml:space="preserve">e-mail: </w:t>
            </w:r>
            <w:hyperlink r:id="rId7" w:history="1">
              <w:r>
                <w:rPr>
                  <w:rStyle w:val="a3"/>
                  <w:sz w:val="20"/>
                  <w:szCs w:val="20"/>
                  <w:highlight w:val="white"/>
                </w:rPr>
                <w:t>consiliul.raional-stefan-voda@apl.gov.md</w:t>
              </w:r>
            </w:hyperlink>
            <w:r>
              <w:rPr>
                <w:rFonts w:eastAsia="Arial"/>
                <w:color w:val="222222"/>
                <w:sz w:val="20"/>
                <w:szCs w:val="20"/>
                <w:highlight w:val="white"/>
              </w:rPr>
              <w:t>,</w:t>
            </w:r>
            <w:r>
              <w:rPr>
                <w:color w:val="000000"/>
                <w:sz w:val="20"/>
                <w:szCs w:val="20"/>
              </w:rPr>
              <w:t xml:space="preserve"> web: </w:t>
            </w:r>
            <w:hyperlink r:id="rId8" w:history="1">
              <w:r>
                <w:rPr>
                  <w:rStyle w:val="a3"/>
                  <w:sz w:val="20"/>
                  <w:szCs w:val="20"/>
                </w:rPr>
                <w:t>www.stefan-voda.md</w:t>
              </w:r>
            </w:hyperlink>
          </w:p>
          <w:p w14:paraId="61E5287A" w14:textId="77777777" w:rsidR="00984D10" w:rsidRDefault="00984D10" w:rsidP="00663A1A">
            <w:pPr>
              <w:rPr>
                <w:color w:val="0000FF"/>
                <w:u w:val="single"/>
              </w:rPr>
            </w:pPr>
          </w:p>
          <w:p w14:paraId="2F4EBAF2" w14:textId="77777777" w:rsidR="00984D10" w:rsidRDefault="00984D10" w:rsidP="00663A1A">
            <w:r>
              <w:t xml:space="preserve">                                                                                                                                      </w:t>
            </w:r>
          </w:p>
        </w:tc>
      </w:tr>
    </w:tbl>
    <w:p w14:paraId="4D6C1393" w14:textId="3FA76D7F" w:rsidR="00984D10" w:rsidRPr="00984D10" w:rsidRDefault="00984D10" w:rsidP="00984D10">
      <w:pPr>
        <w:jc w:val="right"/>
        <w:rPr>
          <w:rFonts w:cs="Times New Roman"/>
          <w:b/>
          <w:bCs/>
          <w:sz w:val="24"/>
          <w:szCs w:val="24"/>
        </w:rPr>
      </w:pPr>
      <w:r w:rsidRPr="00984D10">
        <w:rPr>
          <w:rFonts w:cs="Times New Roman"/>
          <w:b/>
          <w:bCs/>
          <w:sz w:val="24"/>
          <w:szCs w:val="24"/>
        </w:rPr>
        <w:t>PROIECT</w:t>
      </w:r>
    </w:p>
    <w:p w14:paraId="4637C3E5" w14:textId="6769A950" w:rsidR="00984D10" w:rsidRDefault="00984D10" w:rsidP="00984D10">
      <w:pPr>
        <w:jc w:val="center"/>
        <w:rPr>
          <w:b/>
          <w:sz w:val="24"/>
          <w:szCs w:val="24"/>
          <w:lang w:val="en-US"/>
        </w:rPr>
      </w:pPr>
      <w:r>
        <w:rPr>
          <w:b/>
          <w:sz w:val="24"/>
          <w:szCs w:val="24"/>
          <w:lang w:val="en-US"/>
        </w:rPr>
        <w:t xml:space="preserve">DECIZIE nr. </w:t>
      </w:r>
      <w:r w:rsidR="00436B26">
        <w:rPr>
          <w:b/>
          <w:sz w:val="24"/>
          <w:szCs w:val="24"/>
          <w:lang w:val="en-US"/>
        </w:rPr>
        <w:t>4</w:t>
      </w:r>
      <w:r>
        <w:rPr>
          <w:b/>
          <w:sz w:val="24"/>
          <w:szCs w:val="24"/>
          <w:lang w:val="en-US"/>
        </w:rPr>
        <w:t>/</w:t>
      </w:r>
      <w:r w:rsidR="00C87617">
        <w:rPr>
          <w:b/>
          <w:sz w:val="24"/>
          <w:szCs w:val="24"/>
          <w:lang w:val="en-US"/>
        </w:rPr>
        <w:t>17</w:t>
      </w:r>
    </w:p>
    <w:p w14:paraId="64630BB2" w14:textId="52530110" w:rsidR="00984D10" w:rsidRDefault="00984D10" w:rsidP="00984D10">
      <w:pPr>
        <w:jc w:val="center"/>
        <w:rPr>
          <w:sz w:val="24"/>
          <w:szCs w:val="24"/>
          <w:lang w:val="en-US"/>
        </w:rPr>
      </w:pPr>
      <w:r>
        <w:rPr>
          <w:b/>
          <w:sz w:val="24"/>
          <w:szCs w:val="24"/>
          <w:lang w:val="en-US"/>
        </w:rPr>
        <w:t xml:space="preserve">din </w:t>
      </w:r>
      <w:r w:rsidR="00FF7DF8">
        <w:rPr>
          <w:b/>
          <w:sz w:val="24"/>
          <w:szCs w:val="24"/>
          <w:lang w:val="it-IT"/>
        </w:rPr>
        <w:t>30</w:t>
      </w:r>
      <w:r w:rsidR="00436B26">
        <w:rPr>
          <w:b/>
          <w:sz w:val="24"/>
          <w:szCs w:val="24"/>
          <w:lang w:val="it-IT"/>
        </w:rPr>
        <w:t xml:space="preserve"> iulie </w:t>
      </w:r>
      <w:r>
        <w:rPr>
          <w:b/>
          <w:sz w:val="24"/>
          <w:szCs w:val="24"/>
          <w:lang w:val="it-IT"/>
        </w:rPr>
        <w:t>2026</w:t>
      </w:r>
    </w:p>
    <w:p w14:paraId="46C48DE5" w14:textId="77777777" w:rsidR="00984D10" w:rsidRDefault="00984D10" w:rsidP="00984D10">
      <w:pPr>
        <w:jc w:val="both"/>
        <w:rPr>
          <w:b/>
          <w:sz w:val="24"/>
          <w:szCs w:val="24"/>
          <w:lang w:val="en-US"/>
        </w:rPr>
      </w:pPr>
    </w:p>
    <w:p w14:paraId="7D84690C" w14:textId="77777777" w:rsidR="00984D10" w:rsidRDefault="00984D10" w:rsidP="00984D10">
      <w:pPr>
        <w:jc w:val="both"/>
        <w:rPr>
          <w:b/>
          <w:sz w:val="24"/>
          <w:szCs w:val="24"/>
          <w:lang w:val="en-US"/>
        </w:rPr>
      </w:pPr>
    </w:p>
    <w:p w14:paraId="7DC2CD3E" w14:textId="77777777" w:rsidR="00CB23E3" w:rsidRPr="00CB23E3" w:rsidRDefault="00CB23E3" w:rsidP="00CB23E3">
      <w:pPr>
        <w:pStyle w:val="a8"/>
        <w:rPr>
          <w:b/>
          <w:bCs/>
          <w:sz w:val="24"/>
          <w:szCs w:val="24"/>
          <w:lang w:val="en-US" w:eastAsia="ru-RU"/>
        </w:rPr>
      </w:pPr>
      <w:r w:rsidRPr="00CB23E3">
        <w:rPr>
          <w:b/>
          <w:bCs/>
          <w:sz w:val="24"/>
          <w:szCs w:val="24"/>
          <w:lang w:val="en-US" w:eastAsia="ru-RU"/>
        </w:rPr>
        <w:t xml:space="preserve">Cu privire la executarea Programului teritorial </w:t>
      </w:r>
    </w:p>
    <w:p w14:paraId="491DFA6F" w14:textId="77777777" w:rsidR="00CB23E3" w:rsidRPr="00CB23E3" w:rsidRDefault="00CB23E3" w:rsidP="00CB23E3">
      <w:pPr>
        <w:pStyle w:val="a8"/>
        <w:rPr>
          <w:b/>
          <w:bCs/>
          <w:sz w:val="24"/>
          <w:szCs w:val="24"/>
          <w:lang w:val="en-US" w:eastAsia="ru-RU"/>
        </w:rPr>
      </w:pPr>
      <w:r w:rsidRPr="00CB23E3">
        <w:rPr>
          <w:b/>
          <w:bCs/>
          <w:sz w:val="24"/>
          <w:szCs w:val="24"/>
          <w:lang w:val="en-US" w:eastAsia="ru-RU"/>
        </w:rPr>
        <w:t xml:space="preserve">de răspuns la tuberculoză pentru anii 2022–2025 </w:t>
      </w:r>
    </w:p>
    <w:p w14:paraId="7385C56F" w14:textId="44B75AAA" w:rsidR="00CB23E3" w:rsidRPr="00CB23E3" w:rsidRDefault="00CB23E3" w:rsidP="00CB23E3">
      <w:pPr>
        <w:pStyle w:val="a8"/>
        <w:rPr>
          <w:b/>
          <w:bCs/>
          <w:sz w:val="24"/>
          <w:szCs w:val="24"/>
          <w:lang w:val="en-US" w:eastAsia="ru-RU"/>
        </w:rPr>
      </w:pPr>
      <w:r w:rsidRPr="00CB23E3">
        <w:rPr>
          <w:b/>
          <w:bCs/>
          <w:sz w:val="24"/>
          <w:szCs w:val="24"/>
          <w:lang w:val="en-US" w:eastAsia="ru-RU"/>
        </w:rPr>
        <w:t>și situația epidemiologică la tuberculoză în raion</w:t>
      </w:r>
    </w:p>
    <w:p w14:paraId="470FC63D" w14:textId="77777777" w:rsidR="00CB23E3" w:rsidRDefault="00CB23E3" w:rsidP="00CB23E3">
      <w:pPr>
        <w:widowControl/>
        <w:autoSpaceDE/>
        <w:autoSpaceDN/>
        <w:spacing w:before="100" w:beforeAutospacing="1" w:after="100" w:afterAutospacing="1"/>
        <w:rPr>
          <w:rFonts w:eastAsia="Times New Roman" w:cs="Times New Roman"/>
          <w:sz w:val="24"/>
          <w:szCs w:val="24"/>
          <w:lang w:val="en-US" w:eastAsia="ru-RU"/>
        </w:rPr>
      </w:pPr>
    </w:p>
    <w:p w14:paraId="4916BA12" w14:textId="1AB6E3AC" w:rsidR="00CB23E3" w:rsidRPr="00CB23E3" w:rsidRDefault="00CB23E3" w:rsidP="00CB23E3">
      <w:pPr>
        <w:widowControl/>
        <w:autoSpaceDE/>
        <w:autoSpaceDN/>
        <w:spacing w:before="100" w:beforeAutospacing="1" w:after="100" w:afterAutospacing="1"/>
        <w:jc w:val="both"/>
        <w:rPr>
          <w:rFonts w:eastAsia="Times New Roman" w:cs="Times New Roman"/>
          <w:b/>
          <w:bCs/>
          <w:sz w:val="24"/>
          <w:szCs w:val="24"/>
          <w:lang w:val="en-US" w:eastAsia="ru-RU"/>
        </w:rPr>
      </w:pPr>
      <w:r>
        <w:rPr>
          <w:rFonts w:eastAsia="Times New Roman" w:cs="Times New Roman"/>
          <w:sz w:val="24"/>
          <w:szCs w:val="24"/>
          <w:lang w:val="en-US" w:eastAsia="ru-RU"/>
        </w:rPr>
        <w:t xml:space="preserve">     </w:t>
      </w:r>
      <w:r w:rsidRPr="00CB23E3">
        <w:rPr>
          <w:rFonts w:eastAsia="Times New Roman" w:cs="Times New Roman"/>
          <w:sz w:val="24"/>
          <w:szCs w:val="24"/>
          <w:lang w:val="en-US" w:eastAsia="ru-RU"/>
        </w:rPr>
        <w:t xml:space="preserve">În scopul reducerii morbidității și mortalității prin tuberculoză, diminuării impactului social și economic al acestei maladii, în temeiul art. 4 din Legea nr. 153/2008 cu privire la controlul și profilaxia tuberculozei, art. 6, art. 7, art. 9 și art. 72 din Legea nr. 10/2009 privind supravegherea de stat a sănătății publice, Hotărârii Guvernului nr. 107/2022 privind aprobarea Programului național de răspuns la tuberculoză pentru anii 2022–2025, precum și al art. 43 alin. (1) lit. j¹) și art. 46 din Legea nr. 436/2006 privind administrația publică locală, </w:t>
      </w:r>
      <w:r w:rsidRPr="00CB23E3">
        <w:rPr>
          <w:rFonts w:eastAsia="Times New Roman" w:cs="Times New Roman"/>
          <w:b/>
          <w:bCs/>
          <w:sz w:val="24"/>
          <w:szCs w:val="24"/>
          <w:lang w:val="en-US" w:eastAsia="ru-RU"/>
        </w:rPr>
        <w:t>Consiliul raional Ștefan Vodă DECIDE:</w:t>
      </w:r>
    </w:p>
    <w:p w14:paraId="07ED1D2F" w14:textId="77777777" w:rsidR="00CB23E3" w:rsidRPr="00CB23E3" w:rsidRDefault="00CB23E3" w:rsidP="00CB23E3">
      <w:pPr>
        <w:widowControl/>
        <w:numPr>
          <w:ilvl w:val="0"/>
          <w:numId w:val="2"/>
        </w:numPr>
        <w:autoSpaceDE/>
        <w:autoSpaceDN/>
        <w:spacing w:before="100" w:beforeAutospacing="1" w:after="100" w:afterAutospacing="1"/>
        <w:jc w:val="both"/>
        <w:rPr>
          <w:rFonts w:eastAsia="Times New Roman" w:cs="Times New Roman"/>
          <w:sz w:val="24"/>
          <w:szCs w:val="24"/>
          <w:lang w:val="en-US" w:eastAsia="ru-RU"/>
        </w:rPr>
      </w:pPr>
      <w:r w:rsidRPr="00CB23E3">
        <w:rPr>
          <w:rFonts w:eastAsia="Times New Roman" w:cs="Times New Roman"/>
          <w:sz w:val="24"/>
          <w:szCs w:val="24"/>
          <w:lang w:val="en-US" w:eastAsia="ru-RU"/>
        </w:rPr>
        <w:t xml:space="preserve">Se ia act de informația prezentată de Centrul de Sănătate Publică Căușeni și Serviciul ftiziopneumologic al IMSP „Spitalul Raional Ștefan Vodă” privind executarea Programului teritorial de răspuns la tuberculoză pentru anii 2022–2025, implementarea Planului de acțiuni și situația epidemiologică a tuberculozei în raionul Ștefan Vodă. </w:t>
      </w:r>
    </w:p>
    <w:p w14:paraId="0C4228AB" w14:textId="13E444B9" w:rsidR="00CB23E3" w:rsidRDefault="00CB23E3" w:rsidP="00CB23E3">
      <w:pPr>
        <w:widowControl/>
        <w:numPr>
          <w:ilvl w:val="0"/>
          <w:numId w:val="2"/>
        </w:numPr>
        <w:autoSpaceDE/>
        <w:autoSpaceDN/>
        <w:spacing w:before="100" w:beforeAutospacing="1" w:after="100" w:afterAutospacing="1"/>
        <w:jc w:val="both"/>
        <w:rPr>
          <w:rFonts w:eastAsia="Times New Roman" w:cs="Times New Roman"/>
          <w:sz w:val="24"/>
          <w:szCs w:val="24"/>
          <w:lang w:val="en-US" w:eastAsia="ru-RU"/>
        </w:rPr>
      </w:pPr>
      <w:r w:rsidRPr="00CB23E3">
        <w:rPr>
          <w:rFonts w:eastAsia="Times New Roman" w:cs="Times New Roman"/>
          <w:sz w:val="24"/>
          <w:szCs w:val="24"/>
          <w:lang w:val="en-US" w:eastAsia="ru-RU"/>
        </w:rPr>
        <w:t>Se recomandă IMSP Centrelor de Sănătate din raion, IMSP „Spitalul Raional Ștefan Vodă”, Centrului de Sănătate Publică Căușeni și celorlalți parteneri implicați să continue implementarea măsurilor de prevenire, depistare precoce, tratament și monitorizare a tuberculozei, precum și activitățile de informare și educare a populației privind prevenirea acestei maladii.</w:t>
      </w:r>
    </w:p>
    <w:p w14:paraId="35004C7F" w14:textId="5AE0E738" w:rsidR="00CB23E3" w:rsidRPr="00CB23E3" w:rsidRDefault="00CB23E3" w:rsidP="00CB23E3">
      <w:pPr>
        <w:widowControl/>
        <w:numPr>
          <w:ilvl w:val="0"/>
          <w:numId w:val="2"/>
        </w:numPr>
        <w:autoSpaceDE/>
        <w:autoSpaceDN/>
        <w:spacing w:before="100" w:beforeAutospacing="1" w:after="100" w:afterAutospacing="1"/>
        <w:jc w:val="both"/>
        <w:rPr>
          <w:rFonts w:eastAsia="Times New Roman" w:cs="Times New Roman"/>
          <w:sz w:val="24"/>
          <w:szCs w:val="24"/>
          <w:lang w:val="en-US" w:eastAsia="ru-RU"/>
        </w:rPr>
      </w:pPr>
      <w:r w:rsidRPr="00CB23E3">
        <w:rPr>
          <w:rFonts w:cs="Times New Roman"/>
          <w:sz w:val="24"/>
          <w:szCs w:val="24"/>
          <w:lang w:val="en-US"/>
        </w:rPr>
        <w:t>Prezenta decizie poate fi contestată prin cerere prealabilă la autoritatea emitentă, cu sediul în or. Ștefan Vodă, str. Libertății nr. 1, sau la Judecătoria Căușeni (sediul or. Ștefan Vodă, str. Grigore Vieru nr. 6), în termen de 30 de zile de la data publicării, potrivit prevederilor Codului administrativ al Republicii Moldova nr. 116/2018.</w:t>
      </w:r>
    </w:p>
    <w:p w14:paraId="67836FE3" w14:textId="77777777" w:rsidR="00CB23E3" w:rsidRPr="00CB23E3" w:rsidRDefault="00CB23E3" w:rsidP="00CB23E3">
      <w:pPr>
        <w:widowControl/>
        <w:numPr>
          <w:ilvl w:val="0"/>
          <w:numId w:val="2"/>
        </w:numPr>
        <w:autoSpaceDE/>
        <w:autoSpaceDN/>
        <w:spacing w:before="100" w:beforeAutospacing="1" w:after="100" w:afterAutospacing="1"/>
        <w:jc w:val="both"/>
        <w:rPr>
          <w:rFonts w:eastAsia="Times New Roman" w:cs="Times New Roman"/>
          <w:sz w:val="24"/>
          <w:szCs w:val="24"/>
          <w:lang w:val="en-US" w:eastAsia="ru-RU"/>
        </w:rPr>
      </w:pPr>
      <w:r w:rsidRPr="00CB23E3">
        <w:rPr>
          <w:rFonts w:cs="Times New Roman"/>
          <w:sz w:val="24"/>
          <w:szCs w:val="24"/>
          <w:lang w:val="en-US"/>
        </w:rPr>
        <w:t>Prezenta decizie se include în Registrul de stat al actelor locale (aclelocale.gov.md), se publică pe pagina web a Consiliului raional Ștefan Vodă (</w:t>
      </w:r>
      <w:hyperlink r:id="rId9" w:tgtFrame="_new" w:history="1">
        <w:r w:rsidRPr="00CB23E3">
          <w:rPr>
            <w:rStyle w:val="a3"/>
            <w:rFonts w:cs="Times New Roman"/>
            <w:sz w:val="24"/>
            <w:szCs w:val="24"/>
            <w:lang w:val="en-US"/>
          </w:rPr>
          <w:t>www.stefan-voda.md</w:t>
        </w:r>
      </w:hyperlink>
      <w:r w:rsidRPr="00CB23E3">
        <w:rPr>
          <w:rFonts w:cs="Times New Roman"/>
          <w:sz w:val="24"/>
          <w:szCs w:val="24"/>
          <w:lang w:val="en-US"/>
        </w:rPr>
        <w:t xml:space="preserve">) și se aduce la cunoștință </w:t>
      </w:r>
    </w:p>
    <w:p w14:paraId="52A01C8E" w14:textId="2D7DF245" w:rsidR="00984D10" w:rsidRPr="00CB23E3" w:rsidRDefault="00984D10" w:rsidP="00984D10">
      <w:pPr>
        <w:jc w:val="both"/>
        <w:rPr>
          <w:color w:val="000000" w:themeColor="text1"/>
          <w:sz w:val="24"/>
          <w:szCs w:val="24"/>
          <w:lang w:val="it-IT"/>
        </w:rPr>
      </w:pPr>
    </w:p>
    <w:p w14:paraId="63744A47" w14:textId="77777777" w:rsidR="00984D10" w:rsidRDefault="00984D10" w:rsidP="00984D10">
      <w:pPr>
        <w:rPr>
          <w:rFonts w:cs="Times New Roman"/>
          <w:b/>
          <w:lang w:val="en-US"/>
        </w:rPr>
      </w:pPr>
      <w:r>
        <w:rPr>
          <w:rFonts w:cs="Times New Roman"/>
          <w:b/>
          <w:lang w:val="en-US"/>
        </w:rPr>
        <w:t xml:space="preserve">       </w:t>
      </w:r>
    </w:p>
    <w:p w14:paraId="7F5265B3" w14:textId="4E1E2F8E" w:rsidR="00984D10" w:rsidRPr="006834F9" w:rsidRDefault="00984D10" w:rsidP="00984D10">
      <w:pPr>
        <w:rPr>
          <w:rFonts w:cs="Times New Roman"/>
          <w:b/>
          <w:lang w:val="en-US"/>
        </w:rPr>
      </w:pPr>
      <w:r>
        <w:rPr>
          <w:b/>
          <w:bCs/>
          <w:sz w:val="25"/>
          <w:szCs w:val="25"/>
        </w:rPr>
        <w:t xml:space="preserve">Președintele ședinței                                                     </w:t>
      </w:r>
    </w:p>
    <w:p w14:paraId="1714710D" w14:textId="77777777" w:rsidR="00984D10" w:rsidRDefault="00984D10" w:rsidP="00984D10">
      <w:pPr>
        <w:jc w:val="both"/>
        <w:rPr>
          <w:iCs/>
          <w:color w:val="000000"/>
          <w:sz w:val="28"/>
          <w:szCs w:val="28"/>
        </w:rPr>
      </w:pPr>
    </w:p>
    <w:p w14:paraId="0641BE4B" w14:textId="3E202374" w:rsidR="00984D10" w:rsidRDefault="00984D10" w:rsidP="00984D10">
      <w:pPr>
        <w:jc w:val="both"/>
        <w:rPr>
          <w:i/>
          <w:iCs/>
          <w:color w:val="000000"/>
          <w:sz w:val="25"/>
          <w:szCs w:val="25"/>
        </w:rPr>
      </w:pPr>
      <w:r>
        <w:rPr>
          <w:i/>
          <w:iCs/>
          <w:color w:val="000000"/>
          <w:sz w:val="25"/>
          <w:szCs w:val="25"/>
        </w:rPr>
        <w:t>contrasemnează:</w:t>
      </w:r>
    </w:p>
    <w:p w14:paraId="232DEA10" w14:textId="3ED00582" w:rsidR="00984D10" w:rsidRDefault="00984D10" w:rsidP="00984D10">
      <w:pPr>
        <w:jc w:val="both"/>
        <w:rPr>
          <w:b/>
          <w:bCs/>
          <w:sz w:val="25"/>
          <w:szCs w:val="25"/>
        </w:rPr>
      </w:pPr>
      <w:r>
        <w:rPr>
          <w:b/>
          <w:bCs/>
          <w:sz w:val="25"/>
          <w:szCs w:val="25"/>
        </w:rPr>
        <w:t xml:space="preserve">Secretarul Consiliului raional                                   </w:t>
      </w:r>
    </w:p>
    <w:p w14:paraId="33791EBC" w14:textId="77777777" w:rsidR="00984D10" w:rsidRDefault="00984D10" w:rsidP="00984D10">
      <w:pPr>
        <w:jc w:val="both"/>
        <w:rPr>
          <w:b/>
        </w:rPr>
      </w:pPr>
    </w:p>
    <w:p w14:paraId="489CF19B" w14:textId="77777777" w:rsidR="00984D10" w:rsidRDefault="00984D10" w:rsidP="00984D10">
      <w:pPr>
        <w:jc w:val="both"/>
        <w:rPr>
          <w:b/>
        </w:rPr>
      </w:pPr>
    </w:p>
    <w:p w14:paraId="47EDA2F2" w14:textId="77777777" w:rsidR="00984D10" w:rsidRDefault="00984D10" w:rsidP="00984D10">
      <w:pPr>
        <w:jc w:val="both"/>
        <w:rPr>
          <w:b/>
        </w:rPr>
      </w:pPr>
    </w:p>
    <w:p w14:paraId="0A098A64" w14:textId="77777777" w:rsidR="0083248C" w:rsidRDefault="0083248C"/>
    <w:sectPr w:rsidR="00832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43994"/>
    <w:multiLevelType w:val="hybridMultilevel"/>
    <w:tmpl w:val="55BCA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CD5457"/>
    <w:multiLevelType w:val="multilevel"/>
    <w:tmpl w:val="B8540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627385"/>
    <w:multiLevelType w:val="multilevel"/>
    <w:tmpl w:val="EB222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CC"/>
    <w:rsid w:val="000E70CC"/>
    <w:rsid w:val="00424AEE"/>
    <w:rsid w:val="00436B26"/>
    <w:rsid w:val="0083248C"/>
    <w:rsid w:val="00984D10"/>
    <w:rsid w:val="00C87617"/>
    <w:rsid w:val="00CB23E3"/>
    <w:rsid w:val="00FA17D5"/>
    <w:rsid w:val="00FF7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D205"/>
  <w15:chartTrackingRefBased/>
  <w15:docId w15:val="{31D2CB8F-962B-427C-8FAB-7C875ED9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D10"/>
    <w:pPr>
      <w:widowControl w:val="0"/>
      <w:autoSpaceDE w:val="0"/>
      <w:autoSpaceDN w:val="0"/>
      <w:spacing w:after="0" w:line="240" w:lineRule="auto"/>
    </w:pPr>
    <w:rPr>
      <w:rFonts w:ascii="Times New Roman" w:hAnsi="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84D10"/>
    <w:rPr>
      <w:color w:val="0000FF"/>
      <w:u w:val="single"/>
    </w:rPr>
  </w:style>
  <w:style w:type="character" w:customStyle="1" w:styleId="a4">
    <w:name w:val="Абзац списка Знак"/>
    <w:aliases w:val="Scriptoria bullet points Знак,List Paragraph 1 Знак,Table of contents numbered Знак,List Paragraph in table Знак,PDP DOCUMENT SUBTITLE Знак,Bullets Знак,List Paragraph (numbered (a)) Знак,Bullet Points Знак,Liste Paragraf Знак,Ha Знак"/>
    <w:link w:val="a5"/>
    <w:uiPriority w:val="34"/>
    <w:qFormat/>
    <w:locked/>
    <w:rsid w:val="00984D10"/>
    <w:rPr>
      <w:rFonts w:ascii="Times New Roman" w:eastAsia="Times New Roman" w:hAnsi="Times New Roman" w:cs="Times New Roman"/>
      <w:lang w:val="ro-RO"/>
    </w:rPr>
  </w:style>
  <w:style w:type="paragraph" w:styleId="a5">
    <w:name w:val="List Paragraph"/>
    <w:aliases w:val="Scriptoria bullet points,List Paragraph 1,Table of contents numbered,List Paragraph in table,PDP DOCUMENT SUBTITLE,Bullets,List Paragraph (numbered (a)),Bullet Points,Liste Paragraf,Paragraphe de liste PBLH,Graph &amp; Table tite,Titre1,Ha"/>
    <w:basedOn w:val="a"/>
    <w:link w:val="a4"/>
    <w:uiPriority w:val="34"/>
    <w:qFormat/>
    <w:rsid w:val="00984D10"/>
    <w:pPr>
      <w:ind w:left="413" w:firstLine="566"/>
    </w:pPr>
    <w:rPr>
      <w:rFonts w:eastAsia="Times New Roman" w:cs="Times New Roman"/>
    </w:rPr>
  </w:style>
  <w:style w:type="paragraph" w:customStyle="1" w:styleId="pdq2pgselectionanchorcontainer">
    <w:name w:val="pdq2pg_selectionanchorcontainer"/>
    <w:basedOn w:val="a"/>
    <w:rsid w:val="00CB23E3"/>
    <w:pPr>
      <w:widowControl/>
      <w:autoSpaceDE/>
      <w:autoSpaceDN/>
      <w:spacing w:before="100" w:beforeAutospacing="1" w:after="100" w:afterAutospacing="1"/>
    </w:pPr>
    <w:rPr>
      <w:rFonts w:eastAsia="Times New Roman" w:cs="Times New Roman"/>
      <w:sz w:val="24"/>
      <w:szCs w:val="24"/>
      <w:lang w:val="ru-RU" w:eastAsia="ru-RU"/>
    </w:rPr>
  </w:style>
  <w:style w:type="character" w:styleId="a6">
    <w:name w:val="Strong"/>
    <w:basedOn w:val="a0"/>
    <w:uiPriority w:val="22"/>
    <w:qFormat/>
    <w:rsid w:val="00CB23E3"/>
    <w:rPr>
      <w:b/>
      <w:bCs/>
    </w:rPr>
  </w:style>
  <w:style w:type="paragraph" w:styleId="a7">
    <w:name w:val="Normal (Web)"/>
    <w:basedOn w:val="a"/>
    <w:uiPriority w:val="99"/>
    <w:semiHidden/>
    <w:unhideWhenUsed/>
    <w:rsid w:val="00CB23E3"/>
    <w:pPr>
      <w:widowControl/>
      <w:autoSpaceDE/>
      <w:autoSpaceDN/>
      <w:spacing w:before="100" w:beforeAutospacing="1" w:after="100" w:afterAutospacing="1"/>
    </w:pPr>
    <w:rPr>
      <w:rFonts w:eastAsia="Times New Roman" w:cs="Times New Roman"/>
      <w:sz w:val="24"/>
      <w:szCs w:val="24"/>
      <w:lang w:val="ru-RU" w:eastAsia="ru-RU"/>
    </w:rPr>
  </w:style>
  <w:style w:type="paragraph" w:styleId="a8">
    <w:name w:val="No Spacing"/>
    <w:uiPriority w:val="1"/>
    <w:qFormat/>
    <w:rsid w:val="00CB23E3"/>
    <w:pPr>
      <w:widowControl w:val="0"/>
      <w:autoSpaceDE w:val="0"/>
      <w:autoSpaceDN w:val="0"/>
      <w:spacing w:after="0" w:line="240" w:lineRule="auto"/>
    </w:pPr>
    <w:rPr>
      <w:rFonts w:ascii="Times New Roman" w:hAnsi="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fan-voda.md" TargetMode="External"/><Relationship Id="rId3" Type="http://schemas.openxmlformats.org/officeDocument/2006/relationships/settings" Target="settings.xml"/><Relationship Id="rId7" Type="http://schemas.openxmlformats.org/officeDocument/2006/relationships/hyperlink" Target="mailto:consiliul.raional-stefan-voda@apl.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efan-vod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2026-07-15T07:14:00Z</dcterms:created>
  <dcterms:modified xsi:type="dcterms:W3CDTF">2026-07-20T08:50:00Z</dcterms:modified>
</cp:coreProperties>
</file>