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0" distR="0">
                  <wp:extent cx="590550" cy="752475"/>
                  <wp:effectExtent b="0" l="0" r="0" t="0"/>
                  <wp:docPr descr="STEMA DE STAT_RM" id="1" name="image2.png"/>
                  <a:graphic>
                    <a:graphicData uri="http://schemas.openxmlformats.org/drawingml/2006/picture">
                      <pic:pic>
                        <pic:nvPicPr>
                          <pic:cNvPr descr="STEMA DE STAT_RM" id="0" name="image2.png"/>
                          <pic:cNvPicPr preferRelativeResize="0"/>
                        </pic:nvPicPr>
                        <pic:blipFill>
                          <a:blip r:embed="rId7"/>
                          <a:srcRect b="0" l="0" r="0" t="0"/>
                          <a:stretch>
                            <a:fillRect/>
                          </a:stretch>
                        </pic:blipFill>
                        <pic:spPr>
                          <a:xfrm>
                            <a:off x="0" y="0"/>
                            <a:ext cx="590550" cy="7524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0" distR="0">
                  <wp:extent cx="523875" cy="733425"/>
                  <wp:effectExtent b="0" l="0" r="0" t="0"/>
                  <wp:docPr descr="Stema raionului Stefan Voda" id="2" name="image1.gif"/>
                  <a:graphic>
                    <a:graphicData uri="http://schemas.openxmlformats.org/drawingml/2006/picture">
                      <pic:pic>
                        <pic:nvPicPr>
                          <pic:cNvPr descr="Stema raionului Stefan Voda" id="0" name="image1.gif"/>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 3/3                                                   PROIECT     </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din 19 iunie 2026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Cu privire la alocarea mijloacelor financiare pentru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cofinanțarea lucrărilor de reparație a stației de epurare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din satul Ermoclia și încheierea Acordului de cofinanțare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cu Primăria satului Ermoclia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Având în vedere starea tehnică avariată a stației de epurare din satul Ermoclia, care nu asigură funcționarea corespunzătoare a sistemului de epurare a apelor uzate și generează risc sanitar și ecologic pentru populație și mediul înconjurător, precum și necesitatea intervenției urgente pentru prevenirea consecințelor negative;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în temeiul Legii nr. 397/2003 privind finanțele publice locale; art. 43 alin. (1) lit. b), art. 46 din Legea nr. 436/2006 privind administrația publică locală, 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DECIDE: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Se ia act de situația tehnică critică a stației de epurare din satul Ermoclia, raionul Ștefan Vodă, care necesită intervenție urgentă pentru remedierea defecțiunilor și restabilirea funcționalității acesteia.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Se aprobă alocarea din bugetul raional Ștefan Vodă a sumei de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300,0 mii lei</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pentru efectuarea lucrărilor de reparație a stației de epurare din satul Ermoclia.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Se aprobă încheierea Acordului de cofinanțare între Consiliul raional Ștefan Vodă și Primăria satului Ermoclia, în vederea implementării măsurilor de remediere a situației și utilizării mijloacelor financiare alocate. </w:t>
      </w:r>
    </w:p>
    <w:p w:rsidR="00000000" w:rsidDel="00000000" w:rsidP="00000000" w:rsidRDefault="00000000" w:rsidRPr="00000000" w14:paraId="0000001C">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împuternicește președintele raionului Ștefan Vodă, doamna Olga LUCHIAN, să semneze Acordul de cofinanțare și alte acte necesare executării prezentei decizii.</w:t>
      </w:r>
    </w:p>
    <w:p w:rsidR="00000000" w:rsidDel="00000000" w:rsidP="00000000" w:rsidRDefault="00000000" w:rsidRPr="00000000" w14:paraId="0000001D">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Transferul mijloacelor financiare către Primăria satului Ermoclia se va efectua în baza cererilor de finanțare și a documentelor justificative prevăzute în Acordul de cofinanțare, în limita alocațiilor aprobate în bugetul raional.</w:t>
      </w:r>
    </w:p>
    <w:p w:rsidR="00000000" w:rsidDel="00000000" w:rsidP="00000000" w:rsidRDefault="00000000" w:rsidRPr="00000000" w14:paraId="0000001E">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Direcția finanțe va asigura executarea obligațiilor financiare asumate de Consiliul raional Ștefan Vodă conform prevederilor Acordului de cofinanțare.</w:t>
      </w:r>
    </w:p>
    <w:p w:rsidR="00000000" w:rsidDel="00000000" w:rsidP="00000000" w:rsidRDefault="00000000" w:rsidRPr="00000000" w14:paraId="0000001F">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Primăria satului Ermoclia va asigura utilizarea conform destinației a mijloacelor financiare, executarea lucrărilor de reparație și prezentarea rapoartelor privind implementarea intervenției.</w:t>
      </w:r>
    </w:p>
    <w:p w:rsidR="00000000" w:rsidDel="00000000" w:rsidP="00000000" w:rsidRDefault="00000000" w:rsidRPr="00000000" w14:paraId="00000020">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Direcția construcții, gospodărie comunală și drumuri va monitoriza executarea lucrărilor de reparație a stației de epurare din satul Ermoclia, va verifica respectarea prevederilor tehnice și va informa conducerea raionului privind stadiul realizării acestora.</w:t>
      </w:r>
    </w:p>
    <w:p w:rsidR="00000000" w:rsidDel="00000000" w:rsidP="00000000" w:rsidRDefault="00000000" w:rsidRPr="00000000" w14:paraId="00000021">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 de executarea prezentei decizii se desemnează președintele raionului Ștefan Vodă, domnul Vasile MAXIM, vicepreședintele raionului.</w:t>
      </w:r>
    </w:p>
    <w:p w:rsidR="00000000" w:rsidDel="00000000" w:rsidP="00000000" w:rsidRDefault="00000000" w:rsidRPr="00000000" w14:paraId="00000022">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Controlul asupra executării prezentei decizii se pune în sarcina președintelui raionului Ștefan Vodă, doamna Olga Luchian.</w:t>
      </w:r>
    </w:p>
    <w:p w:rsidR="00000000" w:rsidDel="00000000" w:rsidP="00000000" w:rsidRDefault="00000000" w:rsidRPr="00000000" w14:paraId="00000023">
      <w:pPr>
        <w:numPr>
          <w:ilvl w:val="0"/>
          <w:numId w:val="1"/>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Prezenta decizie poate fi contestată cu cerere prealabilă depusă la autoritatea emitentă, cu sediul în or. Ștefan Vodă, str. Libertății nr. 1, în termen de 30 de zile de la data comunicării, în conformitate cu prevederile Codului administrativ al Republicii Moldova nr. 116/2018.</w:t>
      </w:r>
    </w:p>
    <w:p w:rsidR="00000000" w:rsidDel="00000000" w:rsidP="00000000" w:rsidRDefault="00000000" w:rsidRPr="00000000" w14:paraId="00000024">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Prezenta decizie se include în Registrul de stat al actelor locale (actelocale.gov.md), se publică pe pagina web a Consiliului raional Ștefan Vodă (</w:t>
      </w:r>
      <w:hyperlink r:id="rId11">
        <w:r w:rsidDel="00000000" w:rsidR="00000000" w:rsidRPr="00000000">
          <w:rPr>
            <w:rFonts w:ascii="Times New Roman" w:cs="Times New Roman" w:eastAsia="Times New Roman" w:hAnsi="Times New Roman"/>
            <w:color w:val="1155cc"/>
            <w:sz w:val="24"/>
            <w:szCs w:val="24"/>
            <w:u w:val="single"/>
            <w:rtl w:val="0"/>
          </w:rPr>
          <w:t xml:space="preserve">www.stefan-voda.md</w:t>
        </w:r>
      </w:hyperlink>
      <w:r w:rsidDel="00000000" w:rsidR="00000000" w:rsidRPr="00000000">
        <w:rPr>
          <w:rFonts w:ascii="Times New Roman" w:cs="Times New Roman" w:eastAsia="Times New Roman" w:hAnsi="Times New Roman"/>
          <w:sz w:val="24"/>
          <w:szCs w:val="24"/>
          <w:rtl w:val="0"/>
        </w:rPr>
        <w:t xml:space="preserve">) și se aduce la cunoștința Președintelui raionului Ștefan Vodă și altor entități / persoane relevante.</w:t>
      </w:r>
    </w:p>
    <w:p w:rsidR="00000000" w:rsidDel="00000000" w:rsidP="00000000" w:rsidRDefault="00000000" w:rsidRPr="00000000" w14:paraId="00000025">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Președintele ședinței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Contrasemnează:</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sz w:val="20"/>
          <w:szCs w:val="20"/>
          <w:rtl w:val="0"/>
        </w:rPr>
        <w:t xml:space="preserve">Secretarul interimar al Consiliului raional</w:t>
      </w:r>
      <w:r w:rsidDel="00000000" w:rsidR="00000000" w:rsidRPr="00000000">
        <w:rPr>
          <w:rtl w:val="0"/>
        </w:rPr>
      </w:r>
    </w:p>
    <w:p w:rsidR="00000000" w:rsidDel="00000000" w:rsidP="00000000" w:rsidRDefault="00000000" w:rsidRPr="00000000" w14:paraId="0000002A">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ACORD DE COFINANȚARE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nr. _____ din __________ 2026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încheiat între</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CONSILIUL RAIONAL ȘTEFAN VODĂ</w:t>
      </w:r>
      <w:r w:rsidDel="00000000" w:rsidR="00000000" w:rsidRPr="00000000">
        <w:rPr>
          <w:rFonts w:ascii="Times New Roman" w:cs="Times New Roman" w:eastAsia="Times New Roman" w:hAnsi="Times New Roman"/>
          <w:color w:val="000000"/>
          <w:sz w:val="24"/>
          <w:szCs w:val="24"/>
          <w:rtl w:val="0"/>
        </w:rPr>
        <w:t xml:space="preserve">, cu sediul în or. Ștefan Vodă, str. Libertății 1, Republica Moldova, cod fiscal: 1007601010932, reprezentat de către Președintele raionului - </w:t>
      </w:r>
      <w:r w:rsidDel="00000000" w:rsidR="00000000" w:rsidRPr="00000000">
        <w:rPr>
          <w:rFonts w:ascii="Times New Roman" w:cs="Times New Roman" w:eastAsia="Times New Roman" w:hAnsi="Times New Roman"/>
          <w:b w:val="1"/>
          <w:bCs w:val="1"/>
          <w:color w:val="000000"/>
          <w:sz w:val="24"/>
          <w:szCs w:val="24"/>
          <w:rtl w:val="0"/>
        </w:rPr>
        <w:t xml:space="preserve">Olga LUCHIAN</w:t>
      </w:r>
      <w:r w:rsidDel="00000000" w:rsidR="00000000" w:rsidRPr="00000000">
        <w:rPr>
          <w:rFonts w:ascii="Times New Roman" w:cs="Times New Roman" w:eastAsia="Times New Roman" w:hAnsi="Times New Roman"/>
          <w:color w:val="000000"/>
          <w:sz w:val="24"/>
          <w:szCs w:val="24"/>
          <w:rtl w:val="0"/>
        </w:rPr>
        <w:t xml:space="preserve">, care activează în baza Deciziei Consiliului raional Ștefan Vodă nr. 9/1 din 02 decembrie 2023 „Cu privire la alegerea în funcţia de preşedinte al raionului Ştefan Vodă” în conformitate cu Legea nr. 436/2006 privind administrația publică locală, denumit în continuare „Cofinanțatorul”,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și</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Primăria satului Ermoclia, </w:t>
      </w:r>
      <w:r w:rsidDel="00000000" w:rsidR="00000000" w:rsidRPr="00000000">
        <w:rPr>
          <w:rFonts w:ascii="Times New Roman" w:cs="Times New Roman" w:eastAsia="Times New Roman" w:hAnsi="Times New Roman"/>
          <w:sz w:val="24"/>
          <w:szCs w:val="24"/>
          <w:rtl w:val="0"/>
        </w:rPr>
        <w:t xml:space="preserve">cu sediul în s. Ermoclia, str.___________________________________, cod fiscal ______________________, reprezentat de către Primarul – </w:t>
      </w:r>
      <w:r w:rsidDel="00000000" w:rsidR="00000000" w:rsidRPr="00000000">
        <w:rPr>
          <w:rFonts w:ascii="Times New Roman" w:cs="Times New Roman" w:eastAsia="Times New Roman" w:hAnsi="Times New Roman"/>
          <w:b w:val="1"/>
          <w:bCs w:val="1"/>
          <w:sz w:val="24"/>
          <w:szCs w:val="24"/>
          <w:rtl w:val="0"/>
        </w:rPr>
        <w:t xml:space="preserve">Mihail ȚURCANU</w:t>
      </w:r>
      <w:r w:rsidDel="00000000" w:rsidR="00000000" w:rsidRPr="00000000">
        <w:rPr>
          <w:rFonts w:ascii="Times New Roman" w:cs="Times New Roman" w:eastAsia="Times New Roman" w:hAnsi="Times New Roman"/>
          <w:sz w:val="24"/>
          <w:szCs w:val="24"/>
          <w:rtl w:val="0"/>
        </w:rPr>
        <w:t xml:space="preserve">, pe de altă parte, denumite în continuare „Părțile”,</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convenit încheierea prezentului Acord-cadru de cofinanțare, aprobat prin Decizia Consiliului raional Ștefan Vodă nr. ______ din 19 iulie 2026.</w:t>
      </w:r>
    </w:p>
    <w:p w:rsidR="00000000" w:rsidDel="00000000" w:rsidP="00000000" w:rsidRDefault="00000000" w:rsidRPr="00000000" w14:paraId="0000003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convenit încheierea prezentului Acord de cofinanțare.</w:t>
      </w:r>
    </w:p>
    <w:p w:rsidR="00000000" w:rsidDel="00000000" w:rsidP="00000000" w:rsidRDefault="00000000" w:rsidRPr="00000000" w14:paraId="00000035">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I</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Obiectul acordului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Prezentul Acord reglementează condițiile de acordare și utilizare a contribuției financiare alocate de Consiliul raional Ștefan Vodă pentru executarea lucrărilor de reparație a stației de epurare din satul Ermoclia.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Contribuția financiară a Consiliului raional Ștefan Vodă constituie 300,0 mii lei.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Mijloacele financiare sunt acordate în scopul remedierii stării tehnice avariate a stației de epurare și asigurării funcționării corespunzătoare a sistemului de epurare a apelor uzate din localitate.</w:t>
      </w:r>
    </w:p>
    <w:p w:rsidR="00000000" w:rsidDel="00000000" w:rsidP="00000000" w:rsidRDefault="00000000" w:rsidRPr="00000000" w14:paraId="00000039">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II</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Obligațiile Consiliului raional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Să asigure transferul contribuției financiare aprobate prin decizia Consiliului raional Ștefan Vodă.</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Să monitorizeze utilizarea conform destinației a mijloacelor financiare alocate.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Să solicite informații și documente justificative privind utilizarea fondurilor transferate.</w:t>
      </w:r>
    </w:p>
    <w:p w:rsidR="00000000" w:rsidDel="00000000" w:rsidP="00000000" w:rsidRDefault="00000000" w:rsidRPr="00000000" w14:paraId="0000003D">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III</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Obligațiile Primăriei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Să utilizeze mijloacele financiare exclusiv pentru lucrările de reparație a stației de epurare din satul Ermoclia.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Să asigure organizarea și desfășurarea procedurilor de achiziții publice, după caz, în conformitate cu legislația în vigoare.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Să asigure executarea lucrărilor conform documentației tehnice și cerințelor legale aplicabile.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Să permită reprezentanților Consiliului raional verificarea modului de utilizare a fondurilor și a stadiului executării lucrărilor.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Să prezinte Consiliului raional rapoarte privind utilizarea mijloacelor financiare și realizarea lucrărilor finanțate.</w:t>
      </w:r>
    </w:p>
    <w:p w:rsidR="00000000" w:rsidDel="00000000" w:rsidP="00000000" w:rsidRDefault="00000000" w:rsidRPr="00000000" w14:paraId="00000043">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IV</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Modalitatea de finanțare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Transferul mijloacelor financiare se efectuează în baza solicitării Primăriei și a documentelor justificative prevăzute de legislație și de prezentul Acord.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Mijloacele financiare vor fi transferate în contul bancar al Primăriei satului Ermoclia.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În cazul utilizării neconforme a fondurilor, Primăria este obligată să restituie sumele utilizate contrar destinației, în condițiile legii.</w:t>
      </w:r>
    </w:p>
    <w:p w:rsidR="00000000" w:rsidDel="00000000" w:rsidP="00000000" w:rsidRDefault="00000000" w:rsidRPr="00000000" w14:paraId="00000047">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V</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Monitorizare și raportare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Primăria va informa periodic Consiliul raional despre stadiul executării lucrărilor.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După finalizarea lucrărilor, Primăria va prezenta un raport final privind utilizarea mijloacelor financiare și rezultatele obținute.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Consiliul raional își rezervă dreptul de a efectua verificări documentare și la fața locului.</w:t>
      </w:r>
    </w:p>
    <w:p w:rsidR="00000000" w:rsidDel="00000000" w:rsidP="00000000" w:rsidRDefault="00000000" w:rsidRPr="00000000" w14:paraId="0000004B">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VI</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Răspunderea părților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Părțile răspund pentru neexecutarea sau executarea necorespunzătoare a obligațiilor asumate prin prezentul Acord, în conformitate cu legislația Republicii Moldova.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Litigiile apărute în legătură cu executarea prezentului Acord se soluționează pe cale amiabilă, iar în cazul nesoluționării acestora, de către instanțele competente.</w:t>
      </w:r>
    </w:p>
    <w:p w:rsidR="00000000" w:rsidDel="00000000" w:rsidP="00000000" w:rsidRDefault="00000000" w:rsidRPr="00000000" w14:paraId="0000004E">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CAPITOLUL VII</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Dispoziții finale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Prezentul Acord intră în vigoare la data semnării de către ambele părți.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Modificarea sau completarea prezentului Acord se efectuează prin acordul scris al părților.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Prezentul Acord este întocmit în două exemplare originale, câte unul pentru fiecare parte, ambele având aceeași forță juridică.</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Style w:val="Heading3"/>
        <w:rPr/>
      </w:pPr>
      <w:r w:rsidDel="00000000" w:rsidR="00000000" w:rsidRPr="00000000">
        <w:rPr>
          <w:rtl w:val="0"/>
        </w:rPr>
        <w:t xml:space="preserve">VIII. Datele și semnăturile părților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CONSILIUL RAIONAL ȘTEFAN VODĂ                   PRIMĂRIA SATULUI ERMOCLIA</w:t>
        <w:br w:type="textWrapping"/>
        <w:t xml:space="preserve">                                                                                                        </w:t>
        <w:br w:type="textWrapping"/>
        <w:t xml:space="preserve">Președinte al raionului                                                    Primar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Olga Luchian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Mihail Țurcanu</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MXAVNttNPK6seNBUM5WG+DpHQ==">CgMxLjA4AHIhMXFuQnlodklOWFJVZjd1c2k1MmN5ZVE5bnQ0djdQb2Jo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