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Proiect</w:t>
      </w:r>
    </w:p>
    <w:tbl>
      <w:tblPr>
        <w:tblStyle w:val="Table1"/>
        <w:tblpPr w:leftFromText="180" w:rightFromText="180" w:topFromText="0" w:bottomFromText="200" w:vertAnchor="page" w:horzAnchor="margin" w:tblpX="0" w:tblpY="1053"/>
        <w:tblW w:w="9885.0" w:type="dxa"/>
        <w:jc w:val="left"/>
        <w:tblLayout w:type="fixed"/>
        <w:tblLook w:val="04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0" distT="0" distL="0" distR="0">
                  <wp:extent cx="520850" cy="569818"/>
                  <wp:effectExtent b="0" l="0" r="0" t="0"/>
                  <wp:docPr descr="STEMA DE STAT_RM" id="6" name="image2.png"/>
                  <a:graphic>
                    <a:graphicData uri="http://schemas.openxmlformats.org/drawingml/2006/picture">
                      <pic:pic>
                        <pic:nvPicPr>
                          <pic:cNvPr descr="STEMA DE STAT_RM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50" cy="5698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REPUBLICA MOLDOVA</w:t>
            </w:r>
          </w:p>
          <w:p w:rsidR="00000000" w:rsidDel="00000000" w:rsidP="00000000" w:rsidRDefault="00000000" w:rsidRPr="00000000" w14:paraId="00000004">
            <w:pPr>
              <w:spacing w:after="60" w:line="276" w:lineRule="auto"/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CONSILIUL RAIONAL ŞTEFAN VODĂ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DECIZIE nr.  2/24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Din 26 februarie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Cu privire la aprobarea organigramei și a statelor de personal 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ale aparatului președintelui raionului, direcțiilor, secțiilor și 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altor subdiviziuni din subordinea Consiliului raional Ștefan Vodă</w:t>
      </w:r>
    </w:p>
    <w:p w:rsidR="00000000" w:rsidDel="00000000" w:rsidP="00000000" w:rsidRDefault="00000000" w:rsidRPr="00000000" w14:paraId="0000000B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Ținând cont de necesitățile actuale și sporirea funcționalității administrației raionului;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În conformitate cu prevederile art. 67 alin. (1), (2) din Legea nr. 158/2008 cu privire la funcția publică și statutul funcționarului public;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Anexa 3 și 10 din Legea 270/2018 privind sistemul unitar de salarizare în sectorul bugetar;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 nr. 5 din HG nr. 201/2009 privind punerea în aplicare a prevederilor Legii 158/2008 cu privire la funcția publică și statutul funcționarului public;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în baza art. 43 alin. (1) lit. a) și art. 46 din Legea nr. 436-XVI din 28 decembrie 2006 privind administraţia publică locală, Consiliul raional Ştefan Vodă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DECIDE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Se aprobă în redacție nouă organigrama și statele de personal ale aparatului președintelui raionului, direcțiilor, secțiilor și altor subdiviziuni din subordinea Consiliului raional Ștefan Vodă, conform anexelor nr. 1-2 , începând cu data de 01 mai 2026.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Specialistul principal, responsabil de resurse umane, va: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       2.1</w:t>
      </w:r>
      <w:r w:rsidDel="00000000" w:rsidR="00000000" w:rsidRPr="00000000">
        <w:rPr>
          <w:sz w:val="24"/>
          <w:szCs w:val="24"/>
          <w:rtl w:val="0"/>
        </w:rPr>
        <w:t xml:space="preserve"> transmite spre avizare către Cancelaria de Stat prezentul stat de personal;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   2.2</w:t>
      </w:r>
      <w:r w:rsidDel="00000000" w:rsidR="00000000" w:rsidRPr="00000000">
        <w:rPr>
          <w:sz w:val="24"/>
          <w:szCs w:val="24"/>
          <w:rtl w:val="0"/>
        </w:rPr>
        <w:t xml:space="preserve"> preaviza angajații despre reorganizarea unor funcții publice după avizarea statutului de personal de către Cancelaria de Stat;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2.3</w:t>
      </w:r>
      <w:r w:rsidDel="00000000" w:rsidR="00000000" w:rsidRPr="00000000">
        <w:rPr>
          <w:sz w:val="24"/>
          <w:szCs w:val="24"/>
          <w:rtl w:val="0"/>
        </w:rPr>
        <w:t xml:space="preserve"> anunța concurs pentru funcțiile vacante apărute în procesul reorganizării.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3. </w:t>
      </w:r>
      <w:r w:rsidDel="00000000" w:rsidR="00000000" w:rsidRPr="00000000">
        <w:rPr>
          <w:sz w:val="24"/>
          <w:szCs w:val="24"/>
          <w:rtl w:val="0"/>
        </w:rPr>
        <w:t xml:space="preserve">Cheltuielile legate de implementarea prezentei decizii vor fi efectuate în limita mijloacelor pentru redistribuirea muncii planificate în buget pentru anul 2026.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4. </w:t>
      </w:r>
      <w:r w:rsidDel="00000000" w:rsidR="00000000" w:rsidRPr="00000000">
        <w:rPr>
          <w:sz w:val="24"/>
          <w:szCs w:val="24"/>
          <w:rtl w:val="0"/>
        </w:rPr>
        <w:t xml:space="preserve">Direcția finanțe, va ajusta bugetele subdiviziunilor vizate, conform prevederilor prezentei decizii.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5.</w:t>
      </w:r>
      <w:r w:rsidDel="00000000" w:rsidR="00000000" w:rsidRPr="00000000">
        <w:rPr>
          <w:sz w:val="24"/>
          <w:szCs w:val="24"/>
          <w:rtl w:val="0"/>
        </w:rPr>
        <w:t xml:space="preserve"> Responsabil de executarea prezentei decizii se numesc specialistul principal responsabil de resurse umane, direcția finanțe și președintele raionului.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Se abrogă Decizia CR nr. 4/20 din 17 septembrie 2020, cu privire la aprobarea organigramei și a statelor de personal ale aparatului președintelui raionului, direcțiilor, secțiilor și altor subdiviziuni din subordinea Consiliului raional Ștefan Vodă și Anexa 2 la Decizia CR nr. 2/7 din 05.04.2024 cu privire la aprobarea statelor de personal și regulamentului de organizare și funcționare al Direcției generale educație Ștefan Vodă.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Controlul executării prezentei decizii se atribuie doamnei Olga Luchian, președinta raionului.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Prezenta decizie poate fi contestată în decurs de 30 de zile de la data comunicării cu respectarea procedurii prealabile la autoritatea emitentă cu sediul or. Ștefan Vodă, str. Libertății nr. 1 sau la Judecătoria Căușeni (sediul or. Ștefan Vodă, str. Grigore Vieru nr. 6), potrivit prevederilor Codului administrativ al Republicii Moldova nr. 116/2018.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05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Prezenta decizie se include în Registrul de stat al actelor locale (actelocale.gov.md), se publică pe pagina web a Consiliului raional Ștefan Vodă (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www.stefan-voda.md</w:t>
        </w:r>
      </w:hyperlink>
      <w:r w:rsidDel="00000000" w:rsidR="00000000" w:rsidRPr="00000000">
        <w:rPr>
          <w:sz w:val="24"/>
          <w:szCs w:val="24"/>
          <w:rtl w:val="0"/>
        </w:rPr>
        <w:t xml:space="preserve">) și se aduce la cunoştinţa persoanelor și instituțiilor nominalizate.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Preşedintele şedinţei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Contrasemnează: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Secretarul interimar al Consiliului raional                                                         Lia Banari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Anexa 1 </w:t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  <w:t xml:space="preserve">La decizia CR nr. 2/24  din 26.02.2026 </w:t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Organigrama Aparatului președintelui raionului, direcțiilor, secțiilor și altor subdiviziuni din subordinea   Consiliului raional Ștefan Vodă</w:t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240838" cy="6705601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0838" cy="6705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Anexa 2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La decizia CR nr. 2/24 din 26.02.2026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Structura și efectivul-limită </w:t>
      </w:r>
    </w:p>
    <w:p w:rsidR="00000000" w:rsidDel="00000000" w:rsidP="00000000" w:rsidRDefault="00000000" w:rsidRPr="00000000" w14:paraId="0000003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Aparatului președintelui raionului, direcțiilor și subdiviziunilor din subordinea Consiliului raional Ștefan Vodă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bookmarkStart w:colFirst="0" w:colLast="0" w:name="_heading=h.vz73e4py7cm7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Denumirea funcțiilor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Numărul de unități, inclusiv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Categoria funcției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Număr de unități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Președinte al raionului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fdp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Vicepreședinte al raionului (responsabil de domeniul economic)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fdp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Vicepreședinte al raionului (responsabil de domeniul social)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fdp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Secretar al consiliului raional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4 (3 fdp+1 fpc)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Serviciul audit public intern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Auditor intern principal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2 (1 fpc+1 fpe)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Serviciul juridic, resurse umane și protecția muncii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2 (1 fpc+1 fpe)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Direcția administrație publică și control intern managerial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direcție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Arhivar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pdtafap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comunicare și transparență decizională în cadrul direcției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atragerea investițiilor și cooperare transfrontalieră în cadrul direcției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8 (3 fpc+4 fpe+1pdtafap)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Secția contabilitate, achiziții publice și gestionarea patrimoniului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secție, contabil-șef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Contabil principal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4 (1 fpc+2 fpe+1 ps)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Serviciul arhivă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3 (1 fpc+2 fpe)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Serviciul de deservire a clădirilor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fc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Tîmplar 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Lăcătuș 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Electrician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Îngrijitor de încăperi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Paznic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Măturător 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Șofer 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19 (1 fc+ 18 pa)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Secția cultură și patrimoniul cultural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4 (1 fpc+ 3 fpe)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Direcția economie și dezvoltare regională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direcție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Secția planificare teritorială, infrastructură și dezvoltare regională în cadrul direcției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secție, arhitect-șef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relații funciare, cadastru și eficiență energetică în cadrul secției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8 (3 fpc+5 fpe)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Secția agricultură, industrie alimentară și mediu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 principal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4 (1 fpc+ 3 fpe)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58 unități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Direcția Finanțe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direcție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Secția elaborarea și administrarea bugetului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adjunct direcție, șef secție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superior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contabil în cadrul direcției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serviciu, contabil șef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superior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Secretar 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pdtafap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Șofer 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12 unități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Direcția Generală Educație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direcție generală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adjunct direcție generală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Secția politici educaționale și management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 în cadrul direcției generale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fpc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superior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3 (1fpc+2fpe)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management economico-financiar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management al resurselor umane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funcții publice: 7 (3fpc+4fpe)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Secția management al curricumului și formare profesională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Șef secție, cabinet metodic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fc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Metodist principal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Metodist superior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7 (1 fc+6 pa)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Secția administrativ auxiliară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Inginer superior de exploatare a sistemului informaționl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Secretar administrativ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Tehnician 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Șofer 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Îngrijitori de încăperi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Măturător 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Cazangerist (operator)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7,5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pe lîngă Direcția Generală Educație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Contabilitate centralizată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Contabil șef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Contabil superior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Cntabil salarizare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Contabil evidența bunurilor materiale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Specialist principal (jurist)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fpe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Serviciul de transportare a elevilor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Mecanic 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Șofer autobus școlar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10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: 36,5 unități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850.393700787401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537" w:lineRule="auto"/>
      <w:ind w:left="531"/>
    </w:pPr>
    <w:rPr>
      <w:sz w:val="48"/>
      <w:szCs w:val="48"/>
    </w:rPr>
  </w:style>
  <w:style w:type="paragraph" w:styleId="Heading2">
    <w:name w:val="heading 2"/>
    <w:basedOn w:val="Normal"/>
    <w:next w:val="Normal"/>
    <w:pPr>
      <w:ind w:left="907" w:right="480"/>
      <w:jc w:val="center"/>
    </w:pPr>
    <w:rPr>
      <w:sz w:val="36"/>
      <w:szCs w:val="36"/>
    </w:rPr>
  </w:style>
  <w:style w:type="paragraph" w:styleId="Heading3">
    <w:name w:val="heading 3"/>
    <w:basedOn w:val="Normal"/>
    <w:next w:val="Normal"/>
    <w:pPr>
      <w:spacing w:line="329" w:lineRule="auto"/>
      <w:jc w:val="right"/>
    </w:pPr>
    <w:rPr>
      <w:sz w:val="29"/>
      <w:szCs w:val="29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83672"/>
    <w:rPr>
      <w:rFonts w:ascii="Times New Roman" w:cs="Times New Roman" w:eastAsia="Times New Roman" w:hAnsi="Times New Roman"/>
      <w:sz w:val="48"/>
      <w:szCs w:val="48"/>
      <w:lang w:val="ro-RO"/>
    </w:rPr>
  </w:style>
  <w:style w:type="character" w:styleId="20" w:customStyle="1">
    <w:name w:val="Заголовок 2 Знак"/>
    <w:basedOn w:val="a0"/>
    <w:link w:val="2"/>
    <w:uiPriority w:val="9"/>
    <w:rsid w:val="00783672"/>
    <w:rPr>
      <w:rFonts w:ascii="Times New Roman" w:cs="Times New Roman" w:eastAsia="Times New Roman" w:hAnsi="Times New Roman"/>
      <w:sz w:val="36"/>
      <w:szCs w:val="36"/>
      <w:lang w:val="ro-RO"/>
    </w:rPr>
  </w:style>
  <w:style w:type="character" w:styleId="30" w:customStyle="1">
    <w:name w:val="Заголовок 3 Знак"/>
    <w:basedOn w:val="a0"/>
    <w:link w:val="3"/>
    <w:uiPriority w:val="9"/>
    <w:rsid w:val="00783672"/>
    <w:rPr>
      <w:rFonts w:ascii="Times New Roman" w:cs="Times New Roman" w:eastAsia="Times New Roman" w:hAnsi="Times New Roman"/>
      <w:sz w:val="29"/>
      <w:szCs w:val="29"/>
      <w:lang w:val="ro-RO"/>
    </w:rPr>
  </w:style>
  <w:style w:type="paragraph" w:styleId="a3">
    <w:name w:val="Body Text"/>
    <w:basedOn w:val="a"/>
    <w:link w:val="a4"/>
    <w:uiPriority w:val="1"/>
    <w:qFormat w:val="1"/>
    <w:rsid w:val="00783672"/>
    <w:rPr>
      <w:rFonts w:cs="Times New Roman" w:eastAsia="Times New Roman"/>
      <w:sz w:val="27"/>
      <w:szCs w:val="27"/>
    </w:rPr>
  </w:style>
  <w:style w:type="character" w:styleId="a4" w:customStyle="1">
    <w:name w:val="Основной текст Знак"/>
    <w:basedOn w:val="a0"/>
    <w:link w:val="a3"/>
    <w:uiPriority w:val="1"/>
    <w:rsid w:val="00783672"/>
    <w:rPr>
      <w:rFonts w:ascii="Times New Roman" w:cs="Times New Roman" w:eastAsia="Times New Roman" w:hAnsi="Times New Roman"/>
      <w:sz w:val="27"/>
      <w:szCs w:val="27"/>
      <w:lang w:val="ro-RO"/>
    </w:rPr>
  </w:style>
  <w:style w:type="paragraph" w:styleId="a5">
    <w:name w:val="List Paragraph"/>
    <w:basedOn w:val="a"/>
    <w:uiPriority w:val="1"/>
    <w:qFormat w:val="1"/>
    <w:rsid w:val="00783672"/>
    <w:pPr>
      <w:ind w:left="413" w:firstLine="566"/>
    </w:pPr>
    <w:rPr>
      <w:rFonts w:cs="Times New Roman" w:eastAsia="Times New Roman"/>
    </w:rPr>
  </w:style>
  <w:style w:type="paragraph" w:styleId="TableParagraph" w:customStyle="1">
    <w:name w:val="Table Paragraph"/>
    <w:basedOn w:val="a"/>
    <w:uiPriority w:val="1"/>
    <w:qFormat w:val="1"/>
    <w:rsid w:val="00783672"/>
    <w:rPr>
      <w:rFonts w:cs="Times New Roman" w:eastAsia="Times New Roman"/>
    </w:rPr>
  </w:style>
  <w:style w:type="paragraph" w:styleId="21">
    <w:name w:val="Body Text Indent 2"/>
    <w:basedOn w:val="a"/>
    <w:link w:val="22"/>
    <w:semiHidden w:val="1"/>
    <w:unhideWhenUsed w:val="1"/>
    <w:rsid w:val="005E3490"/>
    <w:pPr>
      <w:widowControl w:val="1"/>
      <w:autoSpaceDE w:val="1"/>
      <w:autoSpaceDN w:val="1"/>
      <w:ind w:firstLine="513"/>
    </w:pPr>
    <w:rPr>
      <w:rFonts w:cs="Times New Roman" w:eastAsia="Times New Roman"/>
      <w:sz w:val="24"/>
      <w:szCs w:val="24"/>
      <w:lang w:eastAsia="ro-RO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E3490"/>
    <w:rPr>
      <w:rFonts w:ascii="Times New Roman" w:cs="Times New Roman" w:eastAsia="Times New Roman" w:hAnsi="Times New Roman"/>
      <w:sz w:val="24"/>
      <w:szCs w:val="24"/>
      <w:lang w:eastAsia="ro-RO" w:val="ro-RO"/>
    </w:rPr>
  </w:style>
  <w:style w:type="paragraph" w:styleId="a6">
    <w:name w:val="Balloon Text"/>
    <w:basedOn w:val="a"/>
    <w:link w:val="a7"/>
    <w:uiPriority w:val="99"/>
    <w:semiHidden w:val="1"/>
    <w:unhideWhenUsed w:val="1"/>
    <w:rsid w:val="005E3490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5E3490"/>
    <w:rPr>
      <w:rFonts w:ascii="Tahoma" w:cs="Tahoma" w:hAnsi="Tahoma"/>
      <w:sz w:val="16"/>
      <w:szCs w:val="16"/>
      <w:lang w:val="ro-RO"/>
    </w:rPr>
  </w:style>
  <w:style w:type="character" w:styleId="a8">
    <w:name w:val="Hyperlink"/>
    <w:uiPriority w:val="99"/>
    <w:unhideWhenUsed w:val="1"/>
    <w:rsid w:val="00B1232C"/>
    <w:rPr>
      <w:color w:val="0000ff"/>
      <w:u w:val="single"/>
    </w:rPr>
  </w:style>
  <w:style w:type="character" w:styleId="a9">
    <w:name w:val="Strong"/>
    <w:basedOn w:val="a0"/>
    <w:uiPriority w:val="22"/>
    <w:qFormat w:val="1"/>
    <w:rsid w:val="00B1232C"/>
    <w:rPr>
      <w:b w:val="1"/>
      <w:bCs w:val="1"/>
    </w:rPr>
  </w:style>
  <w:style w:type="table" w:styleId="aa">
    <w:name w:val="Table Grid"/>
    <w:basedOn w:val="a1"/>
    <w:uiPriority w:val="59"/>
    <w:rsid w:val="00AA70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AA7068"/>
    <w:pPr>
      <w:tabs>
        <w:tab w:val="center" w:pos="4677"/>
        <w:tab w:val="right" w:pos="9355"/>
      </w:tabs>
    </w:pPr>
  </w:style>
  <w:style w:type="character" w:styleId="ac" w:customStyle="1">
    <w:name w:val="Верхний колонтитул Знак"/>
    <w:basedOn w:val="a0"/>
    <w:link w:val="ab"/>
    <w:uiPriority w:val="99"/>
    <w:rsid w:val="00AA7068"/>
    <w:rPr>
      <w:rFonts w:ascii="Times New Roman" w:hAnsi="Times New Roman"/>
      <w:lang w:val="ro-RO"/>
    </w:rPr>
  </w:style>
  <w:style w:type="paragraph" w:styleId="ad">
    <w:name w:val="footer"/>
    <w:basedOn w:val="a"/>
    <w:link w:val="ae"/>
    <w:uiPriority w:val="99"/>
    <w:unhideWhenUsed w:val="1"/>
    <w:rsid w:val="00AA7068"/>
    <w:pPr>
      <w:tabs>
        <w:tab w:val="center" w:pos="4677"/>
        <w:tab w:val="right" w:pos="9355"/>
      </w:tabs>
    </w:pPr>
  </w:style>
  <w:style w:type="character" w:styleId="ae" w:customStyle="1">
    <w:name w:val="Нижний колонтитул Знак"/>
    <w:basedOn w:val="a0"/>
    <w:link w:val="ad"/>
    <w:uiPriority w:val="99"/>
    <w:rsid w:val="00AA7068"/>
    <w:rPr>
      <w:rFonts w:ascii="Times New Roman" w:hAnsi="Times New Roman"/>
      <w:lang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f1xnyqjwL5xfTC2KrPs81OdxxQ==">CgMxLjAyDmgudno3M2U0cHk3Y203OAByITFycmgyLVNPNThOQzJrTUJQQTVYbjJiTFJIVUxwOU1HNw==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2026-02-20T15:10:00Z</dcterms:created>
  <dc:creator>User</dc:creator>
</cp:coreProperties>
</file>