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DARE DE SEAMĂ</w: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sdt>
        <w:sdtPr>
          <w:id w:val="-1248564114"/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rtl w:val="0"/>
            </w:rPr>
            <w:t xml:space="preserve">de atribuire a contractului de achiziții publice   ⬜</w:t>
          </w:r>
        </w:sdtContent>
      </w:sdt>
    </w:p>
    <w:p w:rsidR="00000000" w:rsidDel="00000000" w:rsidP="00000000" w:rsidRDefault="00000000" w:rsidRPr="00000000" w14:paraId="00000003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Nr.1 din 14 iulie  2025</w:t>
      </w:r>
      <w:r w:rsidDel="00000000" w:rsidR="00000000" w:rsidRPr="00000000">
        <w:rPr>
          <w:color w:val="ffffff"/>
          <w:rtl w:val="0"/>
        </w:rPr>
        <w:t xml:space="preserve">. </w:t>
      </w:r>
      <w:r w:rsidDel="00000000" w:rsidR="00000000" w:rsidRPr="00000000">
        <w:rPr>
          <w:color w:val="ffffff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Date cu privire la autoritatea contractantă:</w:t>
      </w: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8"/>
        <w:gridCol w:w="6373"/>
        <w:tblGridChange w:id="0">
          <w:tblGrid>
            <w:gridCol w:w="3538"/>
            <w:gridCol w:w="6373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autorității contractante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-3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Consiliul raional Ștefan Vodă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Localitate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or.Ștefan Vodă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IDNO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1007601010932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raionul Ștefan Vodă, or.Ștefan Vodă 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str.Libertății, nr.1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Număr de telefon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0242 2 26 50, 0242 2 24 01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Număr de fax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oficial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consiliul.raional-stefan-voda@apl.gov.md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de internet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6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Persoana de contact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(nume, prenume, telefon, e-mail)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Tatiana Solomițchii, tel.067145102,</w:t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economie.sv@gmail.com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Date cu privire la procedura de atribuire: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9"/>
        <w:gridCol w:w="6422"/>
        <w:tblGridChange w:id="0">
          <w:tblGrid>
            <w:gridCol w:w="3489"/>
            <w:gridCol w:w="6422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Tipul procedurii de atribuire aplicate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sdt>
              <w:sdtPr>
                <w:id w:val="51677572"/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Licitație deschisă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*Temei legal pentru desfășurarea NFP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(Legea privind achizițiile publice nr. 131/2015)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Expunerea motivului/temeiului privind alegerea procedurii de atribuire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(în cazul aplicării altor proceduri decât licitația deschisă)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Procedura de achiziție repetată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(după caz, se va indica nr. procedurii/ procedurilor desfășurate anterior pentru aceeași achiziție, dar anulată/ anulate)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Nr: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Tipul obiectului contractului de achiziție/ acordului-cadru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sdt>
              <w:sdtPr>
                <w:id w:val="-609377947"/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Lucrări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Obiectul achiziției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Reparația capitală a drumului L584.1 drum de acces spre s. Copceac, km 2.98 - km 4.48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 CPV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45200000-9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shd w:fill="f7f7f7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Procedura de atribuire </w:t>
            </w:r>
            <w:r w:rsidDel="00000000" w:rsidR="00000000" w:rsidRPr="00000000">
              <w:rPr>
                <w:i w:val="1"/>
                <w:rtl w:val="0"/>
              </w:rPr>
              <w:t xml:space="preserve">(se va indica informația din cadrul portalului guvernamental </w:t>
            </w:r>
            <w:hyperlink r:id="rId9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www.mtender.gov.md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Nr: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3"/>
                <w:szCs w:val="23"/>
                <w:highlight w:val="white"/>
                <w:rtl w:val="0"/>
              </w:rPr>
              <w:t xml:space="preserve">21423469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f7f7f7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Link-ul: ocds-b3wdp1-MD-1748005896467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f7f7f7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Data publicării: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23 mai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Platforma de achiziții publice utilizată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sdt>
              <w:sdtPr>
                <w:id w:val="-1736684610"/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achizitii.md; 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shd w:fill="f7f7f7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Procedura a fost inclusă în planul de achiziții publice a autorității contractante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sdt>
              <w:sdtPr>
                <w:id w:val="-745555502"/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Da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7f7f7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Link-ul către planul de achiziții publice publicat: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https://stefan-voda.md/planul-de-achizitie-a-consiliului-raional-stefan-voda-pe-perioada-anului-2025/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f7f7f7" w:val="clear"/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Anunț de intenție publicată în BAP </w:t>
            </w:r>
            <w:r w:rsidDel="00000000" w:rsidR="00000000" w:rsidRPr="00000000">
              <w:rPr>
                <w:i w:val="1"/>
                <w:rtl w:val="0"/>
              </w:rPr>
              <w:t xml:space="preserve">(după caz)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Data: 15 ianuarie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shd w:fill="f7f7f7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Link-ul: </w:t>
            </w:r>
            <w:hyperlink r:id="rId11">
              <w:r w:rsidDel="00000000" w:rsidR="00000000" w:rsidRPr="00000000">
                <w:rPr>
                  <w:color w:val="0000ff"/>
                  <w:rtl w:val="0"/>
                </w:rPr>
                <w:t xml:space="preserve">https://tender.gov.md/ro/system/files/bap/2014/bap_nr._5.pdf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Tehnici și instrumente specifice de atribuire </w:t>
            </w:r>
            <w:r w:rsidDel="00000000" w:rsidR="00000000" w:rsidRPr="00000000">
              <w:rPr>
                <w:i w:val="1"/>
                <w:rtl w:val="0"/>
              </w:rPr>
              <w:t xml:space="preserve">(după caz)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sdt>
              <w:sdtPr>
                <w:id w:val="1644521246"/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Licitație electronică   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Sursa de finanțare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sdt>
              <w:sdtPr>
                <w:id w:val="-1335543217"/>
                <w:tag w:val="goog_rdk_6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Buget de stat;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bottom w:color="000000" w:space="0" w:sz="4" w:val="single"/>
            </w:tcBorders>
            <w:shd w:fill="f7f7f7" w:val="clear"/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Valoarea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estimată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00000"/>
                <w:u w:val="single"/>
                <w:rtl w:val="0"/>
              </w:rPr>
              <w:t xml:space="preserve">lei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, fără TVA)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33333"/>
                <w:highlight w:val="white"/>
                <w:rtl w:val="0"/>
              </w:rPr>
              <w:t xml:space="preserve">6 478 614,00</w:t>
            </w:r>
            <w:r w:rsidDel="00000000" w:rsidR="00000000" w:rsidRPr="00000000">
              <w:rPr>
                <w:b w:val="1"/>
                <w:rtl w:val="0"/>
              </w:rPr>
              <w:t xml:space="preserve"> lei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Clarificări privind documentația de atribuire: </w:t>
      </w:r>
      <w:r w:rsidDel="00000000" w:rsidR="00000000" w:rsidRPr="00000000">
        <w:rPr>
          <w:rtl w:val="0"/>
        </w:rPr>
      </w:r>
    </w:p>
    <w:tbl>
      <w:tblPr>
        <w:tblStyle w:val="Table3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096"/>
        <w:tblGridChange w:id="0">
          <w:tblGrid>
            <w:gridCol w:w="4815"/>
            <w:gridCol w:w="509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solicitării clarificărilor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iunie 2025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 se vede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Expunerea succintă a solicitării de clarificare</w:t>
            </w:r>
          </w:p>
        </w:tc>
        <w:tc>
          <w:tcPr/>
          <w:p w:rsidR="00000000" w:rsidDel="00000000" w:rsidP="00000000" w:rsidRDefault="00000000" w:rsidRPr="00000000" w14:paraId="00000049">
            <w:pPr>
              <w:shd w:fill="ffffff" w:val="clea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În pozitia nr. 25 propune fracțiunea de amestic optimal 32-63 mm, iar resursa foloseste piatra sparta fr. 8-32 mm. Ce fracție de piatră sparta zdrobită ar trebui folosită?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Expunerea succintă a răspunsului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Executia stratului pentru ranforsarea fundatiei din piatra sparta, sort 8-16, 16-32 LA30, SM SR EN 13242+A1:2010, h=0.18m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transmiterii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iunie 2025</w:t>
            </w:r>
          </w:p>
        </w:tc>
      </w:tr>
    </w:tbl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Modificări operate în documentația de atribuire: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n-au fost</w:t>
      </w:r>
      <w:r w:rsidDel="00000000" w:rsidR="00000000" w:rsidRPr="00000000">
        <w:rPr>
          <w:rtl w:val="0"/>
        </w:rPr>
      </w:r>
    </w:p>
    <w:tbl>
      <w:tblPr>
        <w:tblStyle w:val="Table4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096"/>
        <w:tblGridChange w:id="0">
          <w:tblGrid>
            <w:gridCol w:w="4815"/>
            <w:gridCol w:w="5096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Rezumatul modificărilor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Publicate în BAP/alte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mijloacelor de informare </w:t>
            </w:r>
            <w:r w:rsidDel="00000000" w:rsidR="00000000" w:rsidRPr="00000000">
              <w:rPr>
                <w:i w:val="1"/>
                <w:rtl w:val="0"/>
              </w:rPr>
              <w:t xml:space="preserve">(după caz)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[Indicați sursa utilizată și data publicării]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Termen-limită de depunere și deschidere a ofertelor prelungit </w:t>
            </w:r>
            <w:r w:rsidDel="00000000" w:rsidR="00000000" w:rsidRPr="00000000">
              <w:rPr>
                <w:i w:val="1"/>
                <w:rtl w:val="0"/>
              </w:rPr>
              <w:t xml:space="preserve">(după caz)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[Indicați numărul de zile]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2694"/>
        </w:tabs>
        <w:spacing w:after="240" w:before="24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Până la termenul-limită (data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21.06.2025, ora 08:26), au depus oferta 2(doi)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operatori economici:</w:t>
      </w:r>
    </w:p>
    <w:tbl>
      <w:tblPr>
        <w:tblStyle w:val="Table5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"/>
        <w:gridCol w:w="4259"/>
        <w:gridCol w:w="2408"/>
        <w:gridCol w:w="2688"/>
        <w:tblGridChange w:id="0">
          <w:tblGrid>
            <w:gridCol w:w="556"/>
            <w:gridCol w:w="4259"/>
            <w:gridCol w:w="2408"/>
            <w:gridCol w:w="268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shd w:fill="f7f7f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Nr.</w:t>
            </w:r>
          </w:p>
        </w:tc>
        <w:tc>
          <w:tcPr>
            <w:tcBorders>
              <w:right w:color="000000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Lotul 1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IDNO</w:t>
            </w:r>
          </w:p>
        </w:tc>
        <w:tc>
          <w:tcPr>
            <w:tcBorders>
              <w:right w:color="000000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Asociații/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administratorii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FCP LINCONS S.R.L.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1002600018615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Zingan Alexandru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One SRL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1003601003808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Fortuna Dorin</w:t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Informații privind ofertele depuse și documentele de calificare și aferente DUAE prezentate de către operatorii economici:</w:t>
      </w: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3544"/>
        <w:gridCol w:w="3940"/>
        <w:tblGridChange w:id="0">
          <w:tblGrid>
            <w:gridCol w:w="2547"/>
            <w:gridCol w:w="3544"/>
            <w:gridCol w:w="394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f7f7f7" w:val="clear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 document</w:t>
            </w:r>
          </w:p>
        </w:tc>
        <w:tc>
          <w:tcPr>
            <w:gridSpan w:val="2"/>
            <w:shd w:fill="f7f7f7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f7f7f7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FCP LINCONS S.R.L.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One SRL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f7f7f7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Documentele ce constituie oferta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(Se va consmna prin: prezentat, neprezentat, nu corespunde)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Propunerea tehnică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1531"/>
                <w:tab w:val="center" w:leader="none" w:pos="3421"/>
                <w:tab w:val="left" w:leader="none" w:pos="4978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Propunerea financiară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497"/>
                <w:tab w:val="center" w:leader="none" w:pos="3421"/>
                <w:tab w:val="left" w:leader="none" w:pos="512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DUAE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1519"/>
                <w:tab w:val="center" w:leader="none" w:pos="3421"/>
                <w:tab w:val="left" w:leader="none" w:pos="501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Garanția pentru ofertă</w:t>
            </w:r>
          </w:p>
          <w:p w:rsidR="00000000" w:rsidDel="00000000" w:rsidP="00000000" w:rsidRDefault="00000000" w:rsidRPr="00000000" w14:paraId="0000007A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(după caz)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497"/>
                <w:tab w:val="center" w:leader="none" w:pos="3421"/>
                <w:tab w:val="left" w:leader="none" w:pos="4921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prezentat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D">
            <w:pPr>
              <w:shd w:fill="f7f7f7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Documente de calificare</w:t>
            </w:r>
          </w:p>
          <w:p w:rsidR="00000000" w:rsidDel="00000000" w:rsidP="00000000" w:rsidRDefault="00000000" w:rsidRPr="00000000" w14:paraId="0000007E">
            <w:pPr>
              <w:shd w:fill="f7f7f7" w:val="clear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Se va consmna prin: prezentat, neprezentat, nu corespunde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Document 1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Informația privind corespunderea ofertelor cu cerințele solicitate:</w:t>
      </w:r>
      <w:r w:rsidDel="00000000" w:rsidR="00000000" w:rsidRPr="00000000">
        <w:rPr>
          <w:rtl w:val="0"/>
        </w:rPr>
      </w:r>
    </w:p>
    <w:tbl>
      <w:tblPr>
        <w:tblStyle w:val="Table7"/>
        <w:tblW w:w="9997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1782"/>
        <w:gridCol w:w="1616"/>
        <w:gridCol w:w="1346"/>
        <w:gridCol w:w="1782"/>
        <w:gridCol w:w="1811"/>
        <w:tblGridChange w:id="0">
          <w:tblGrid>
            <w:gridCol w:w="1660"/>
            <w:gridCol w:w="1782"/>
            <w:gridCol w:w="1616"/>
            <w:gridCol w:w="1346"/>
            <w:gridCol w:w="1782"/>
            <w:gridCol w:w="1811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lotului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Prețul ofertei 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(fără TVA)*</w:t>
            </w:r>
          </w:p>
        </w:tc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Cantitate și unitate de măsură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Corespunderea cu cerințele de calificare</w:t>
            </w:r>
          </w:p>
        </w:tc>
        <w:tc>
          <w:tcPr>
            <w:shd w:fill="f7f7f7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Corespunderea cu specificațiile tehnice</w:t>
            </w:r>
          </w:p>
        </w:tc>
      </w:tr>
      <w:tr>
        <w:trPr>
          <w:cantSplit w:val="0"/>
          <w:trHeight w:val="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Reparația capitală a drumului L584.1 drum de acces spre s. Copceac, km 2.98 - km 4.48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5 295 673,96 lei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Group One SRL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1134"/>
                <w:tab w:val="left" w:leader="none" w:pos="269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highlight w:val="white"/>
                <w:rtl w:val="0"/>
              </w:rPr>
              <w:t xml:space="preserve">5 295 676,28 lei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134"/>
                <w:tab w:val="left" w:leader="none" w:pos="269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Pentru elucidarea unor neclarități sau confirmarea unor date privind corespunderea ofertei cu cerințele stabilite în documentația de atribuire (inclusiv justificarea prețului anormal de scăzut)  s-a solicitat:</w:t>
      </w:r>
      <w:r w:rsidDel="00000000" w:rsidR="00000000" w:rsidRPr="00000000">
        <w:rPr>
          <w:rtl w:val="0"/>
        </w:rPr>
      </w:r>
    </w:p>
    <w:tbl>
      <w:tblPr>
        <w:tblStyle w:val="Table8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1"/>
        <w:gridCol w:w="1925"/>
        <w:gridCol w:w="2409"/>
        <w:gridCol w:w="4246"/>
        <w:tblGridChange w:id="0">
          <w:tblGrid>
            <w:gridCol w:w="1331"/>
            <w:gridCol w:w="1925"/>
            <w:gridCol w:w="2409"/>
            <w:gridCol w:w="4246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solicitării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Operatorul economic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Informația solicitată  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Rezumatul răspunsului operatorului economic</w:t>
            </w:r>
          </w:p>
        </w:tc>
      </w:tr>
      <w:tr>
        <w:trPr>
          <w:cantSplit w:val="0"/>
          <w:trHeight w:val="84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134"/>
                <w:tab w:val="left" w:leader="none" w:pos="2694"/>
              </w:tabs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Scrisoare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nr.02/1-13/161 din “25 ” iunie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Răspuns oferit de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prin scrisoarea nr.09 din 27.06.2025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Ofertanții respinși/descalificați:</w:t>
      </w:r>
      <w:r w:rsidDel="00000000" w:rsidR="00000000" w:rsidRPr="00000000">
        <w:rPr>
          <w:rtl w:val="0"/>
        </w:rPr>
      </w:r>
    </w:p>
    <w:tbl>
      <w:tblPr>
        <w:tblStyle w:val="Table9"/>
        <w:tblW w:w="949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5535"/>
        <w:tblGridChange w:id="0">
          <w:tblGrid>
            <w:gridCol w:w="3960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Motivul respingerii/descalificării</w:t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Lotul 1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Group One SRL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s-a decis să fie desemnat câștigător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Modalitatea de evaluare a ofertelor: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b w:val="1"/>
          <w:rtl w:val="0"/>
        </w:rPr>
        <w:t xml:space="preserve">Pentru fiecare lot</w:t>
      </w:r>
      <w:sdt>
        <w:sdtPr>
          <w:id w:val="1664933987"/>
          <w:tag w:val="goog_rdk_7"/>
        </w:sdtPr>
        <w:sdtContent>
          <w:r w:rsidDel="00000000" w:rsidR="00000000" w:rsidRPr="00000000">
            <w:rPr>
              <w:rFonts w:ascii="Nova Mono" w:cs="Nova Mono" w:eastAsia="Nova Mono" w:hAnsi="Nova Mono"/>
              <w:rtl w:val="0"/>
            </w:rPr>
            <w:t xml:space="preserve"> ⬜       </w:t>
          </w:r>
        </w:sdtContent>
      </w:sdt>
    </w:p>
    <w:p w:rsidR="00000000" w:rsidDel="00000000" w:rsidP="00000000" w:rsidRDefault="00000000" w:rsidRPr="00000000" w14:paraId="000000B4">
      <w:pPr>
        <w:spacing w:after="240" w:before="240" w:lineRule="auto"/>
        <w:rPr/>
      </w:pPr>
      <w:r w:rsidDel="00000000" w:rsidR="00000000" w:rsidRPr="00000000">
        <w:rPr>
          <w:color w:val="000000"/>
          <w:rtl w:val="0"/>
        </w:rPr>
        <w:t xml:space="preserve">Justificarea deciziei de a nu atribui contractul pe loturi</w:t>
      </w:r>
      <w:r w:rsidDel="00000000" w:rsidR="00000000" w:rsidRPr="00000000">
        <w:rPr>
          <w:rtl w:val="0"/>
        </w:rPr>
        <w:t xml:space="preserve">: __________________________________               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Criteriul de atribuire aplicat: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Preţul cel mai scăzut</w:t>
      </w:r>
      <w:sdt>
        <w:sdtPr>
          <w:id w:val="-2143524202"/>
          <w:tag w:val="goog_rdk_8"/>
        </w:sdtPr>
        <w:sdtContent>
          <w:r w:rsidDel="00000000" w:rsidR="00000000" w:rsidRPr="00000000">
            <w:rPr>
              <w:rFonts w:ascii="Nova Mono" w:cs="Nova Mono" w:eastAsia="Nova Mono" w:hAnsi="Nova Mono"/>
              <w:rtl w:val="0"/>
            </w:rPr>
            <w:t xml:space="preserve">  ⬜                       </w:t>
          </w:r>
        </w:sdtContent>
      </w:sdt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jc w:val="both"/>
        <w:rPr/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Informaţia privind factorii de evaluare aplicați: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(Se va completa pentru loturile care au fost atribuite în baza criteriilor: cel mai bun raport calitate-preţ sau cel mai bun raport calitate-cost) </w:t>
      </w:r>
    </w:p>
    <w:tbl>
      <w:tblPr>
        <w:tblStyle w:val="Table10"/>
        <w:tblW w:w="9911.0" w:type="dxa"/>
        <w:jc w:val="left"/>
        <w:tblLayout w:type="fixed"/>
        <w:tblLook w:val="0400"/>
      </w:tblPr>
      <w:tblGrid>
        <w:gridCol w:w="2297"/>
        <w:gridCol w:w="2597"/>
        <w:gridCol w:w="2502"/>
        <w:gridCol w:w="2515"/>
        <w:tblGridChange w:id="0">
          <w:tblGrid>
            <w:gridCol w:w="2297"/>
            <w:gridCol w:w="2597"/>
            <w:gridCol w:w="2502"/>
            <w:gridCol w:w="251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7f7" w:val="clear"/>
            <w:tcMar>
              <w:top w:w="30.0" w:type="dxa"/>
              <w:left w:w="4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Factorii de evaluare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7f7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Valoarea din ofertă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f7f7" w:val="clear"/>
            <w:tcMar>
              <w:top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Punctajul calculat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5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Denumirea operatorului economic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45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0C2">
            <w:pPr>
              <w:ind w:left="-342" w:right="-238" w:firstLine="0"/>
              <w:rPr/>
            </w:pPr>
            <w:r w:rsidDel="00000000" w:rsidR="00000000" w:rsidRPr="00000000">
              <w:rPr>
                <w:rtl w:val="0"/>
              </w:rPr>
              <w:t xml:space="preserve">Denumire factorul 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ind w:right="-238"/>
              <w:rPr/>
            </w:pPr>
            <w:r w:rsidDel="00000000" w:rsidR="00000000" w:rsidRPr="00000000">
              <w:rPr>
                <w:rtl w:val="0"/>
              </w:rPr>
              <w:t xml:space="preserve">Ponderea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0C4">
            <w:pPr>
              <w:ind w:right="-23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45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ind w:right="-238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45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0C6">
            <w:pPr>
              <w:ind w:left="-342" w:right="-493" w:firstLine="0"/>
              <w:rPr/>
            </w:pPr>
            <w:r w:rsidDel="00000000" w:rsidR="00000000" w:rsidRPr="00000000">
              <w:rPr>
                <w:rtl w:val="0"/>
              </w:rPr>
              <w:t xml:space="preserve">Denumire factorul n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ind w:right="-238"/>
              <w:rPr/>
            </w:pPr>
            <w:r w:rsidDel="00000000" w:rsidR="00000000" w:rsidRPr="00000000">
              <w:rPr>
                <w:rtl w:val="0"/>
              </w:rPr>
              <w:t xml:space="preserve">Ponderea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0C8">
            <w:pPr>
              <w:ind w:right="-23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450.0" w:type="dxa"/>
              <w:bottom w:w="0.0" w:type="dxa"/>
            </w:tcMar>
          </w:tcPr>
          <w:p w:rsidR="00000000" w:rsidDel="00000000" w:rsidP="00000000" w:rsidRDefault="00000000" w:rsidRPr="00000000" w14:paraId="000000C9">
            <w:pPr>
              <w:ind w:right="-238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Reevaluarea ofertelor:</w:t>
      </w: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 n-au fost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(Se va completa în cazul în care ofertele au fost reevaluate repetat)</w:t>
      </w:r>
    </w:p>
    <w:tbl>
      <w:tblPr>
        <w:tblStyle w:val="Table11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1"/>
        <w:gridCol w:w="6480"/>
        <w:tblGridChange w:id="0">
          <w:tblGrid>
            <w:gridCol w:w="3431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Motivul reevaluării ofertelor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Modificările operate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În urma examinări, evaluării și comparării ofertelor depuse în cadrul procedurii de atribuire s-a decis: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  <w:t xml:space="preserve">Atribuirea contractului de achiziție publică/acordului-cadru: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560"/>
        <w:gridCol w:w="1417"/>
        <w:gridCol w:w="1559"/>
        <w:gridCol w:w="1560"/>
        <w:gridCol w:w="1552"/>
        <w:tblGridChange w:id="0">
          <w:tblGrid>
            <w:gridCol w:w="2263"/>
            <w:gridCol w:w="1560"/>
            <w:gridCol w:w="1417"/>
            <w:gridCol w:w="1559"/>
            <w:gridCol w:w="1560"/>
            <w:gridCol w:w="1552"/>
          </w:tblGrid>
        </w:tblGridChange>
      </w:tblGrid>
      <w:tr>
        <w:trPr>
          <w:cantSplit w:val="0"/>
          <w:tblHeader w:val="0"/>
        </w:trPr>
        <w:tc>
          <w:tcPr>
            <w:shd w:fill="f7f7f7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Denumirea lotului 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Denumirea operatorului economic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Cantitate și unitate de măsură  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Prețul unitar 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(fără TVA)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Prețul total 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(fără TVA)</w:t>
            </w:r>
          </w:p>
        </w:tc>
        <w:tc>
          <w:tcPr>
            <w:shd w:fill="f7f7f7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Prețul total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(inclusiv TVA)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Reparația capitală a drumului L584.1 drum de acces spre s. Copceac, km 2.98 - km 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1,100 km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color w:val="33333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5 295 673,96 lei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5 295 673,96 lei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6 354 808,75 lei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b w:val="1"/>
          <w:u w:val="single"/>
          <w:rtl w:val="0"/>
        </w:rPr>
        <w:t xml:space="preserve">Anularea procedurii de achiziție publică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În temeiul art. 71 alin. __ lit __.            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Argumentare:  _______________________________________________________________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Informarea operatorilor economici despre deciziile grupului de lucru pentru achiziții:</w:t>
      </w:r>
    </w:p>
    <w:tbl>
      <w:tblPr>
        <w:tblStyle w:val="Table13"/>
        <w:tblW w:w="991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786"/>
        <w:gridCol w:w="3302"/>
        <w:tblGridChange w:id="0">
          <w:tblGrid>
            <w:gridCol w:w="3823"/>
            <w:gridCol w:w="2786"/>
            <w:gridCol w:w="3302"/>
          </w:tblGrid>
        </w:tblGridChange>
      </w:tblGrid>
      <w:tr>
        <w:trPr>
          <w:cantSplit w:val="0"/>
          <w:tblHeader w:val="0"/>
        </w:trPr>
        <w:tc>
          <w:tcPr>
            <w:shd w:fill="f5f5f5" w:val="clea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Denumirea operatorului economic</w:t>
            </w:r>
          </w:p>
        </w:tc>
        <w:tc>
          <w:tcPr>
            <w:shd w:fill="f5f5f5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transmiterii </w:t>
            </w:r>
          </w:p>
        </w:tc>
        <w:tc>
          <w:tcPr>
            <w:shd w:fill="f5f5f5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Modalitatea de transmitere </w:t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Scrisoare prin e-mail</w:t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One SRL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01.07.2025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Scrisoare prin e-mail</w:t>
            </w:r>
          </w:p>
        </w:tc>
      </w:tr>
    </w:tbl>
    <w:p w:rsidR="00000000" w:rsidDel="00000000" w:rsidP="00000000" w:rsidRDefault="00000000" w:rsidRPr="00000000" w14:paraId="000000F7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(Informarea operatorilor economici implicați în procedura de atribuire despre deciziile grupului de lucru pentru achiziții se realizează în conformitate cu prevederile art. 31 al Legii nr. 131 din 3 iulie 2015 privind achizițiile publice)</w:t>
      </w:r>
    </w:p>
    <w:p w:rsidR="00000000" w:rsidDel="00000000" w:rsidP="00000000" w:rsidRDefault="00000000" w:rsidRPr="00000000" w14:paraId="000000F8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Termenul de așteptare pentru încheierea contractului:</w:t>
      </w:r>
    </w:p>
    <w:tbl>
      <w:tblPr>
        <w:tblStyle w:val="Table14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4956"/>
        <w:tblGridChange w:id="0">
          <w:tblGrid>
            <w:gridCol w:w="4955"/>
            <w:gridCol w:w="4956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În cazul în care valoarea estimată a contractului este mai mică decât pragurile prevăzute la art. 2 alin. (3) al Legii nr. 131 din 3 iulie 2015 privind achizițiile publice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⬜  6 zile în cazul transmiterii comunicării prin mijloace electronice și/sau fax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⬜ 11 zile  în cazul netransmiterii comunicării prin mijloace electronice și/sau fax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E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În cazul în care valoarea estimată a contractului este egală sau mai mare decât pragurile prevăzute la art. 2 alin. (3) al Legii nr. 131 din 3 iulie 2015 privind achizițiile publice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 11 zile în cazul transmiterii comunicării prin mijloace electronice și/sau fax 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left="142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⬜ 16 zile  în cazul netransmiterii comunicării prin mijloace electronice și/sau fax 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(Selectați termenul de așteptare respectat. Calcularea termenelor prevăzute de Legea nr. 131 din 3 iulie 2015 privind achizițiile publice, inclusiv a termenelor de așteptare, se efectuează în conformitate cu prevederile TITLULUI IV Capitolul I (Calcularea Termenului) al Codului Civil al Republicii Moldova)</w:t>
      </w:r>
    </w:p>
    <w:p w:rsidR="00000000" w:rsidDel="00000000" w:rsidP="00000000" w:rsidRDefault="00000000" w:rsidRPr="00000000" w14:paraId="00000103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240" w:lineRule="auto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Contractul de achiziţie/acordul-cadru încheiat:</w:t>
      </w:r>
    </w:p>
    <w:tbl>
      <w:tblPr>
        <w:tblStyle w:val="Table15"/>
        <w:tblW w:w="9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496"/>
        <w:gridCol w:w="1701"/>
        <w:gridCol w:w="709"/>
        <w:gridCol w:w="567"/>
        <w:gridCol w:w="567"/>
        <w:gridCol w:w="850"/>
        <w:gridCol w:w="966"/>
        <w:gridCol w:w="1364"/>
        <w:gridCol w:w="1349"/>
        <w:tblGridChange w:id="0">
          <w:tblGrid>
            <w:gridCol w:w="1342"/>
            <w:gridCol w:w="496"/>
            <w:gridCol w:w="1701"/>
            <w:gridCol w:w="709"/>
            <w:gridCol w:w="567"/>
            <w:gridCol w:w="567"/>
            <w:gridCol w:w="850"/>
            <w:gridCol w:w="966"/>
            <w:gridCol w:w="1364"/>
            <w:gridCol w:w="1349"/>
          </w:tblGrid>
        </w:tblGridChange>
      </w:tblGrid>
      <w:tr>
        <w:trPr>
          <w:cantSplit w:val="1"/>
          <w:trHeight w:val="431" w:hRule="atLeast"/>
          <w:tblHeader w:val="0"/>
        </w:trPr>
        <w:tc>
          <w:tcPr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Denumirea operatorului </w:t>
              <w:br w:type="textWrapping"/>
              <w:t xml:space="preserve">economic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IDNO</w:t>
            </w:r>
          </w:p>
        </w:tc>
        <w:tc>
          <w:tcPr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Întreprinderea: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 capital autohton/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 capital mixt/asociere/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 capital străin</w:t>
            </w:r>
          </w:p>
        </w:tc>
        <w:tc>
          <w:tcPr>
            <w:gridSpan w:val="2"/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Numărul</w:t>
              <w:br w:type="textWrapping"/>
              <w:t xml:space="preserve">și data</w:t>
              <w:br w:type="textWrapping"/>
              <w:t xml:space="preserve">contractului/ acordului-cadru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3" w:right="1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Cod CPV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5f5f5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Valoarea contractului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5f5f5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Termen de valabilitate al contractului/ acordului-cadru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5f5f5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Termenul limită de livrare/ prestare/ executare al contractului/ acordului-cadru </w:t>
            </w:r>
          </w:p>
        </w:tc>
      </w:tr>
      <w:tr>
        <w:trPr>
          <w:cantSplit w:val="1"/>
          <w:trHeight w:val="431" w:hRule="atLeast"/>
          <w:tblHeader w:val="0"/>
        </w:trPr>
        <w:tc>
          <w:tcPr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fără TVA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inclusiv TVA</w:t>
            </w:r>
          </w:p>
        </w:tc>
        <w:tc>
          <w:tcPr>
            <w:vMerge w:val="continue"/>
            <w:shd w:fill="f5f5f5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5f5f5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1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FCP LINCONS S.R.L.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Nr.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sz w:val="20"/>
                <w:szCs w:val="20"/>
              </w:rPr>
            </w:pPr>
            <w:bookmarkStart w:colFirst="0" w:colLast="0" w:name="_heading=h.32rlmd5nlb3n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333333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right="113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lei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6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-112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31.12.2025</w:t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31.12.2025</w:t>
            </w:r>
          </w:p>
        </w:tc>
      </w:tr>
    </w:tbl>
    <w:p w:rsidR="00000000" w:rsidDel="00000000" w:rsidP="00000000" w:rsidRDefault="00000000" w:rsidRPr="00000000" w14:paraId="000001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Informația privind </w:t>
      </w:r>
      <w:r w:rsidDel="00000000" w:rsidR="00000000" w:rsidRPr="00000000">
        <w:rPr>
          <w:b w:val="1"/>
          <w:sz w:val="22"/>
          <w:szCs w:val="22"/>
          <w:rtl w:val="0"/>
        </w:rPr>
        <w:t xml:space="preserve">achizițiile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publice durabile (achiziții verzi)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rtl w:val="0"/>
        </w:rPr>
        <w:t xml:space="preserve">rubrică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dată se completează doar în cazul în care la procedura de achiziție publică au fost aplicate criterii de durabilitate și s-a încheiat contract/contracte pentru lot/loturi pentru care au fost aplicate criterii de durabilitate)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694"/>
        </w:tabs>
        <w:spacing w:after="120" w:before="120" w:lineRule="auto"/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1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9"/>
        <w:gridCol w:w="3537"/>
        <w:tblGridChange w:id="0">
          <w:tblGrid>
            <w:gridCol w:w="6379"/>
            <w:gridCol w:w="353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 fost aplicate criterii pentru achiziții publice durabile (achiziții verzi)?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(DA/NU)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___________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9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Valoarea de achiziție cu TVA din contract/ contracte a lotului/loturilor pentru care au fost aplicate criterii de durabilitate (lei MD):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left="360" w:hanging="36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__________________ </w:t>
            </w:r>
          </w:p>
          <w:p w:rsidR="00000000" w:rsidDel="00000000" w:rsidP="00000000" w:rsidRDefault="00000000" w:rsidRPr="00000000" w14:paraId="0000016B">
            <w:p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(indicați suma cu TVA)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C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Codul CPV al lotului/loturilor pentru care au fost aplicate criterii de durabilitate: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  <w:tab w:val="left" w:leader="none" w:pos="2694"/>
              </w:tabs>
              <w:spacing w:after="120" w:before="12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E">
            <w:pPr>
              <w:spacing w:after="120" w:before="120" w:lineRule="auto"/>
              <w:rPr>
                <w:b w:val="1"/>
                <w:sz w:val="22"/>
                <w:szCs w:val="22"/>
              </w:rPr>
            </w:pPr>
            <w:bookmarkStart w:colFirst="0" w:colLast="0" w:name="_heading=h.ala3rqpofhwr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Criteriul de atribuire pentru lotul/loturile pentru care au fost aplicate criterii de durabilitate: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  <w:tab w:val="left" w:leader="none" w:pos="2694"/>
              </w:tabs>
              <w:spacing w:after="120" w:before="120" w:lineRule="auto"/>
              <w:ind w:left="720" w:hanging="360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Preţul cel mai scăzut                        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  <w:tab w:val="left" w:leader="none" w:pos="2694"/>
              </w:tabs>
              <w:spacing w:after="120" w:before="120" w:lineRule="auto"/>
              <w:ind w:left="720" w:hanging="360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Costul cel mai scăzut                                  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  <w:tab w:val="left" w:leader="none" w:pos="2694"/>
              </w:tabs>
              <w:spacing w:after="120" w:before="120" w:lineRule="auto"/>
              <w:ind w:left="720" w:hanging="360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Cel mai bun raport calitate-preţ                 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  <w:tab w:val="left" w:leader="none" w:pos="2694"/>
              </w:tabs>
              <w:spacing w:after="120" w:before="120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Cel mai bun raport calitate-cost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      </w:t>
            </w:r>
          </w:p>
        </w:tc>
      </w:tr>
    </w:tbl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-284" w:right="-144" w:firstLine="284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Conducătorul grupului de lucru 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                   </w:t>
      </w:r>
      <w:r w:rsidDel="00000000" w:rsidR="00000000" w:rsidRPr="00000000">
        <w:rPr>
          <w:i w:val="1"/>
          <w:color w:val="000000"/>
          <w:sz w:val="16"/>
          <w:szCs w:val="16"/>
          <w:highlight w:val="white"/>
          <w:rtl w:val="0"/>
        </w:rPr>
        <w:t xml:space="preserve">(semnătura 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electronică</w:t>
      </w:r>
      <w:r w:rsidDel="00000000" w:rsidR="00000000" w:rsidRPr="00000000">
        <w:rPr>
          <w:i w:val="1"/>
          <w:color w:val="000000"/>
          <w:sz w:val="16"/>
          <w:szCs w:val="16"/>
          <w:highlight w:val="white"/>
          <w:rtl w:val="0"/>
        </w:rPr>
        <w:t xml:space="preserve">)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                           Olga LUCHIAN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993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va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tabs>
        <w:tab w:val="left" w:leader="none" w:pos="1134"/>
        <w:tab w:val="left" w:leader="none" w:pos="2694"/>
      </w:tabs>
      <w:spacing w:after="120" w:before="120" w:lineRule="auto"/>
      <w:ind w:left="720" w:hanging="720"/>
    </w:pPr>
    <w:rPr>
      <w:b w:val="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1"/>
    <w:link w:val="1"/>
    <w:rsid w:val="0080664B"/>
    <w:rPr>
      <w:rFonts w:ascii="Times New Roman" w:cs="Times New Roman" w:eastAsia="Cambria" w:hAnsi="Times New Roman"/>
      <w:bCs w:val="1"/>
      <w:i w:val="1"/>
      <w:sz w:val="24"/>
      <w:szCs w:val="24"/>
      <w:lang w:eastAsia="zh-CN" w:val="ro-RO"/>
    </w:rPr>
  </w:style>
  <w:style w:type="paragraph" w:styleId="a0">
    <w:name w:val="List Paragraph"/>
    <w:aliases w:val="HotarirePunct1"/>
    <w:basedOn w:val="a"/>
    <w:autoRedefine w:val="1"/>
    <w:uiPriority w:val="34"/>
    <w:qFormat w:val="1"/>
    <w:rsid w:val="00C7025B"/>
    <w:pPr>
      <w:tabs>
        <w:tab w:val="num" w:pos="720"/>
        <w:tab w:val="left" w:pos="1134"/>
        <w:tab w:val="left" w:pos="2694"/>
      </w:tabs>
      <w:spacing w:after="120" w:before="120"/>
      <w:ind w:left="720" w:hanging="720"/>
    </w:pPr>
    <w:rPr>
      <w:rFonts w:eastAsia="Cambria"/>
      <w:b w:val="1"/>
      <w:sz w:val="22"/>
      <w:szCs w:val="22"/>
      <w:lang w:eastAsia="zh-CN" w:val="ro-RO"/>
    </w:rPr>
  </w:style>
  <w:style w:type="table" w:styleId="a5">
    <w:name w:val="Table Grid"/>
    <w:basedOn w:val="a2"/>
    <w:uiPriority w:val="39"/>
    <w:rsid w:val="003A62F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20" w:customStyle="1">
    <w:name w:val="Заголовок 2 Знак"/>
    <w:basedOn w:val="a1"/>
    <w:link w:val="2"/>
    <w:rsid w:val="00884A68"/>
    <w:rPr>
      <w:rFonts w:ascii="Times New Roman" w:cs="Times New Roman" w:eastAsia="Times New Roman" w:hAnsi="Times New Roman"/>
      <w:sz w:val="24"/>
      <w:szCs w:val="20"/>
      <w:lang w:eastAsia="zh-CN" w:val="ro-RO"/>
    </w:rPr>
  </w:style>
  <w:style w:type="paragraph" w:styleId="a6">
    <w:name w:val="Body Text"/>
    <w:basedOn w:val="a"/>
    <w:link w:val="a7"/>
    <w:rsid w:val="00884A68"/>
    <w:pPr>
      <w:suppressAutoHyphens w:val="1"/>
    </w:pPr>
    <w:rPr>
      <w:rFonts w:ascii="Baltica RR" w:cs="Baltica RR" w:hAnsi="Baltica RR"/>
      <w:szCs w:val="20"/>
      <w:lang w:eastAsia="zh-CN" w:val="ro-RO"/>
    </w:rPr>
  </w:style>
  <w:style w:type="character" w:styleId="a7" w:customStyle="1">
    <w:name w:val="Основной текст Знак"/>
    <w:basedOn w:val="a1"/>
    <w:link w:val="a6"/>
    <w:rsid w:val="00884A68"/>
    <w:rPr>
      <w:rFonts w:ascii="Baltica RR" w:cs="Baltica RR" w:eastAsia="Times New Roman" w:hAnsi="Baltica RR"/>
      <w:sz w:val="24"/>
      <w:szCs w:val="20"/>
      <w:lang w:eastAsia="zh-CN" w:val="ro-RO"/>
    </w:rPr>
  </w:style>
  <w:style w:type="paragraph" w:styleId="21">
    <w:name w:val="Body Text Indent 2"/>
    <w:basedOn w:val="a"/>
    <w:link w:val="22"/>
    <w:rsid w:val="00884A68"/>
    <w:pPr>
      <w:suppressAutoHyphens w:val="1"/>
      <w:ind w:firstLine="567"/>
    </w:pPr>
    <w:rPr>
      <w:rFonts w:ascii="Baltica RR" w:cs="Baltica RR" w:hAnsi="Baltica RR"/>
      <w:szCs w:val="20"/>
      <w:lang w:eastAsia="zh-CN" w:val="ro-RO"/>
    </w:rPr>
  </w:style>
  <w:style w:type="character" w:styleId="22" w:customStyle="1">
    <w:name w:val="Основной текст с отступом 2 Знак"/>
    <w:basedOn w:val="a1"/>
    <w:link w:val="21"/>
    <w:rsid w:val="00884A68"/>
    <w:rPr>
      <w:rFonts w:ascii="Baltica RR" w:cs="Baltica RR" w:eastAsia="Times New Roman" w:hAnsi="Baltica RR"/>
      <w:sz w:val="24"/>
      <w:szCs w:val="20"/>
      <w:lang w:eastAsia="zh-CN" w:val="ro-RO"/>
    </w:rPr>
  </w:style>
  <w:style w:type="paragraph" w:styleId="a8">
    <w:name w:val="header"/>
    <w:basedOn w:val="a"/>
    <w:link w:val="a9"/>
    <w:uiPriority w:val="99"/>
    <w:unhideWhenUsed w:val="1"/>
    <w:rsid w:val="00C77D9A"/>
    <w:pPr>
      <w:tabs>
        <w:tab w:val="center" w:pos="4513"/>
        <w:tab w:val="right" w:pos="9026"/>
      </w:tabs>
    </w:pPr>
  </w:style>
  <w:style w:type="character" w:styleId="a9" w:customStyle="1">
    <w:name w:val="Верхний колонтитул Знак"/>
    <w:basedOn w:val="a1"/>
    <w:link w:val="a8"/>
    <w:uiPriority w:val="99"/>
    <w:rsid w:val="00C77D9A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 w:val="1"/>
    <w:rsid w:val="00C77D9A"/>
    <w:pPr>
      <w:tabs>
        <w:tab w:val="center" w:pos="4513"/>
        <w:tab w:val="right" w:pos="9026"/>
      </w:tabs>
    </w:pPr>
  </w:style>
  <w:style w:type="character" w:styleId="ab" w:customStyle="1">
    <w:name w:val="Нижний колонтитул Знак"/>
    <w:basedOn w:val="a1"/>
    <w:link w:val="aa"/>
    <w:uiPriority w:val="99"/>
    <w:rsid w:val="00C77D9A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30" w:customStyle="1">
    <w:name w:val="Заголовок 3 Знак"/>
    <w:basedOn w:val="a1"/>
    <w:link w:val="3"/>
    <w:uiPriority w:val="9"/>
    <w:semiHidden w:val="1"/>
    <w:rsid w:val="00491FF3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n-US"/>
    </w:rPr>
  </w:style>
  <w:style w:type="paragraph" w:styleId="ac">
    <w:name w:val="Normal (Web)"/>
    <w:basedOn w:val="a"/>
    <w:uiPriority w:val="99"/>
    <w:semiHidden w:val="1"/>
    <w:unhideWhenUsed w:val="1"/>
    <w:rsid w:val="007404F4"/>
    <w:pPr>
      <w:spacing w:after="100" w:afterAutospacing="1" w:before="100" w:beforeAutospacing="1"/>
    </w:pPr>
    <w:rPr>
      <w:lang w:eastAsia="en-GB" w:val="en-GB"/>
    </w:rPr>
  </w:style>
  <w:style w:type="paragraph" w:styleId="ad">
    <w:name w:val="Balloon Text"/>
    <w:basedOn w:val="a"/>
    <w:link w:val="ae"/>
    <w:uiPriority w:val="99"/>
    <w:semiHidden w:val="1"/>
    <w:unhideWhenUsed w:val="1"/>
    <w:rsid w:val="00B34EE1"/>
    <w:rPr>
      <w:rFonts w:ascii="Segoe UI" w:cs="Segoe UI" w:hAnsi="Segoe UI"/>
      <w:sz w:val="18"/>
      <w:szCs w:val="18"/>
    </w:rPr>
  </w:style>
  <w:style w:type="character" w:styleId="ae" w:customStyle="1">
    <w:name w:val="Текст выноски Знак"/>
    <w:basedOn w:val="a1"/>
    <w:link w:val="ad"/>
    <w:uiPriority w:val="99"/>
    <w:semiHidden w:val="1"/>
    <w:rsid w:val="00B34EE1"/>
    <w:rPr>
      <w:rFonts w:ascii="Segoe UI" w:cs="Segoe UI" w:eastAsia="Times New Roman" w:hAnsi="Segoe UI"/>
      <w:sz w:val="18"/>
      <w:szCs w:val="18"/>
      <w:lang w:val="en-US"/>
    </w:rPr>
  </w:style>
  <w:style w:type="character" w:styleId="af">
    <w:name w:val="Hyperlink"/>
    <w:basedOn w:val="a1"/>
    <w:uiPriority w:val="99"/>
    <w:unhideWhenUsed w:val="1"/>
    <w:rsid w:val="00B55D00"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 w:val="1"/>
    <w:unhideWhenUsed w:val="1"/>
    <w:rsid w:val="009A04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9A0456"/>
    <w:rPr>
      <w:sz w:val="20"/>
      <w:szCs w:val="20"/>
    </w:rPr>
  </w:style>
  <w:style w:type="character" w:styleId="af2" w:customStyle="1">
    <w:name w:val="Текст примечания Знак"/>
    <w:basedOn w:val="a1"/>
    <w:link w:val="af1"/>
    <w:uiPriority w:val="99"/>
    <w:semiHidden w:val="1"/>
    <w:rsid w:val="009A0456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9A0456"/>
    <w:rPr>
      <w:b w:val="1"/>
      <w:bCs w:val="1"/>
    </w:rPr>
  </w:style>
  <w:style w:type="character" w:styleId="af4" w:customStyle="1">
    <w:name w:val="Тема примечания Знак"/>
    <w:basedOn w:val="af2"/>
    <w:link w:val="af3"/>
    <w:uiPriority w:val="99"/>
    <w:semiHidden w:val="1"/>
    <w:rsid w:val="009A0456"/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table" w:styleId="11" w:customStyle="1">
    <w:name w:val="Сетка таблицы1"/>
    <w:basedOn w:val="a2"/>
    <w:next w:val="a5"/>
    <w:uiPriority w:val="39"/>
    <w:rsid w:val="006A57C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f5">
    <w:name w:val="Body Text Indent"/>
    <w:basedOn w:val="a"/>
    <w:link w:val="af6"/>
    <w:uiPriority w:val="99"/>
    <w:unhideWhenUsed w:val="1"/>
    <w:rsid w:val="00C24303"/>
    <w:pPr>
      <w:spacing w:after="120"/>
      <w:ind w:left="283"/>
    </w:pPr>
  </w:style>
  <w:style w:type="character" w:styleId="af6" w:customStyle="1">
    <w:name w:val="Основной текст с отступом Знак"/>
    <w:basedOn w:val="a1"/>
    <w:link w:val="af5"/>
    <w:uiPriority w:val="99"/>
    <w:rsid w:val="00C24303"/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affff8">
    <w:name w:val="No Spacing"/>
    <w:uiPriority w:val="1"/>
    <w:qFormat w:val="1"/>
    <w:rsid w:val="00CB406B"/>
  </w:style>
  <w:style w:type="table" w:styleId="affff9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0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character" w:styleId="afffff9">
    <w:name w:val="FollowedHyperlink"/>
    <w:basedOn w:val="a1"/>
    <w:uiPriority w:val="99"/>
    <w:semiHidden w:val="1"/>
    <w:unhideWhenUsed w:val="1"/>
    <w:rsid w:val="00DA461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ender.gov.md/ro/system/files/bap/2014/bap_nr._5.pdf" TargetMode="External"/><Relationship Id="rId10" Type="http://schemas.openxmlformats.org/officeDocument/2006/relationships/hyperlink" Target="https://stefan-voda.md/planul-de-achizitie-a-consiliului-raional-stefan-voda-pe-perioada-anului-2025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mtender.gov.m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iliul.raional-stefan-voda@apl.gov.md" TargetMode="External"/><Relationship Id="rId8" Type="http://schemas.openxmlformats.org/officeDocument/2006/relationships/hyperlink" Target="mailto:economie.sv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11" Type="http://schemas.openxmlformats.org/officeDocument/2006/relationships/font" Target="fonts/NovaMono-regular.ttf"/><Relationship Id="rId10" Type="http://schemas.openxmlformats.org/officeDocument/2006/relationships/font" Target="fonts/HelveticaNeue-boldItalic.ttf"/><Relationship Id="rId9" Type="http://schemas.openxmlformats.org/officeDocument/2006/relationships/font" Target="fonts/HelveticaNeue-italic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2A+9MtJCiz/6dhv/TDWEbsvDw==">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2025-05-05T08:28:00Z</dcterms:created>
  <dc:creator>Hewlett-Packard Company</dc:creator>
</cp:coreProperties>
</file>