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B" w:rsidRDefault="006F24FC" w:rsidP="00A637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51689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REPUBLICA MOLDOVA</w:t>
      </w: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CONSILIUL RAIONAL ŞTEFAN VODĂ</w:t>
      </w: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DECIZIE nr. </w:t>
      </w:r>
      <w:r w:rsidR="006F2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</w:t>
      </w:r>
      <w:r w:rsidR="00C16FD8">
        <w:rPr>
          <w:rFonts w:ascii="Times New Roman" w:hAnsi="Times New Roman"/>
          <w:b/>
          <w:sz w:val="24"/>
          <w:szCs w:val="24"/>
        </w:rPr>
        <w:t>6</w:t>
      </w:r>
    </w:p>
    <w:p w:rsidR="00A637FB" w:rsidRDefault="00A637FB" w:rsidP="00A6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din </w:t>
      </w:r>
      <w:r w:rsidR="000247AA">
        <w:rPr>
          <w:rFonts w:ascii="Times New Roman" w:hAnsi="Times New Roman"/>
          <w:b/>
          <w:sz w:val="24"/>
          <w:szCs w:val="24"/>
        </w:rPr>
        <w:t>0</w:t>
      </w:r>
      <w:r w:rsidR="00577685">
        <w:rPr>
          <w:rFonts w:ascii="Times New Roman" w:hAnsi="Times New Roman"/>
          <w:b/>
          <w:sz w:val="24"/>
          <w:szCs w:val="24"/>
        </w:rPr>
        <w:t>5</w:t>
      </w:r>
      <w:r w:rsidR="000247AA">
        <w:rPr>
          <w:rFonts w:ascii="Times New Roman" w:hAnsi="Times New Roman"/>
          <w:b/>
          <w:sz w:val="24"/>
          <w:szCs w:val="24"/>
        </w:rPr>
        <w:t xml:space="preserve"> aprilie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6F24FC">
        <w:rPr>
          <w:rFonts w:ascii="Times New Roman" w:hAnsi="Times New Roman"/>
          <w:b/>
          <w:sz w:val="24"/>
          <w:szCs w:val="24"/>
        </w:rPr>
        <w:t>4</w:t>
      </w:r>
    </w:p>
    <w:p w:rsidR="00A637FB" w:rsidRDefault="00A637FB" w:rsidP="00A63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7FB" w:rsidRDefault="00A637FB" w:rsidP="00A63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Cu privire la casarea unor mijloace fixe</w:t>
      </w: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47425E">
        <w:rPr>
          <w:rFonts w:ascii="Times New Roman" w:hAnsi="Times New Roman"/>
          <w:sz w:val="24"/>
          <w:szCs w:val="24"/>
        </w:rPr>
        <w:t>lăturat</w:t>
      </w:r>
      <w:r>
        <w:rPr>
          <w:rFonts w:ascii="Times New Roman" w:hAnsi="Times New Roman"/>
          <w:sz w:val="24"/>
          <w:szCs w:val="24"/>
        </w:rPr>
        <w:t xml:space="preserve"> demersu</w:t>
      </w:r>
      <w:r w:rsidR="0047425E">
        <w:rPr>
          <w:rFonts w:ascii="Times New Roman" w:hAnsi="Times New Roman"/>
          <w:sz w:val="24"/>
          <w:szCs w:val="24"/>
        </w:rPr>
        <w:t>lui</w:t>
      </w:r>
      <w:r>
        <w:rPr>
          <w:rFonts w:ascii="Times New Roman" w:hAnsi="Times New Roman"/>
          <w:sz w:val="24"/>
          <w:szCs w:val="24"/>
        </w:rPr>
        <w:t xml:space="preserve"> IMSP Centrul de sănătate </w:t>
      </w:r>
      <w:proofErr w:type="spellStart"/>
      <w:r w:rsidR="0047425E">
        <w:rPr>
          <w:rFonts w:ascii="Times New Roman" w:hAnsi="Times New Roman"/>
          <w:sz w:val="24"/>
          <w:szCs w:val="24"/>
        </w:rPr>
        <w:t>Talmaza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În baza art. 43 alin. (2), art. 46 și art. 77 alin. (1) din Legea nr. 436-XVI din 28 decembrie 2006 privind administrația publică locală, Consiliul raional Ștefan Vodă </w:t>
      </w:r>
      <w:r>
        <w:rPr>
          <w:rFonts w:ascii="Times New Roman" w:hAnsi="Times New Roman"/>
          <w:b/>
          <w:sz w:val="24"/>
          <w:szCs w:val="24"/>
        </w:rPr>
        <w:t>DECIDE:</w:t>
      </w: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7FB" w:rsidRDefault="0047425E" w:rsidP="00A637FB">
      <w:pPr>
        <w:pStyle w:val="Indentcorptext2"/>
        <w:ind w:right="-2" w:firstLine="0"/>
        <w:jc w:val="both"/>
        <w:rPr>
          <w:lang w:val="ro-MO"/>
        </w:rPr>
      </w:pPr>
      <w:r>
        <w:rPr>
          <w:lang w:val="ro-MO"/>
        </w:rPr>
        <w:t>1</w:t>
      </w:r>
      <w:r w:rsidR="00A637FB">
        <w:rPr>
          <w:lang w:val="ro-MO"/>
        </w:rPr>
        <w:t xml:space="preserve">. Se acceptă casarea mijloacelor fixe aflate la bilanțul contabil al IMSP Centrul de                                 sănătate </w:t>
      </w:r>
      <w:proofErr w:type="spellStart"/>
      <w:r>
        <w:rPr>
          <w:lang w:val="ro-MO"/>
        </w:rPr>
        <w:t>Talmaza</w:t>
      </w:r>
      <w:proofErr w:type="spellEnd"/>
      <w:r w:rsidR="00A637FB">
        <w:rPr>
          <w:lang w:val="ro-MO"/>
        </w:rPr>
        <w:t xml:space="preserve">, </w:t>
      </w:r>
      <w:r w:rsidR="00A637FB">
        <w:rPr>
          <w:i/>
          <w:lang w:val="ro-MO"/>
        </w:rPr>
        <w:t>conform anexei</w:t>
      </w:r>
      <w:r w:rsidR="00A637FB">
        <w:rPr>
          <w:lang w:val="ro-MO"/>
        </w:rPr>
        <w:t>.</w:t>
      </w:r>
    </w:p>
    <w:p w:rsidR="00A637FB" w:rsidRDefault="00A11BA3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MO"/>
        </w:rPr>
        <w:t>2</w:t>
      </w:r>
      <w:r w:rsidR="00A637FB">
        <w:rPr>
          <w:rFonts w:ascii="Times New Roman" w:hAnsi="Times New Roman"/>
          <w:sz w:val="24"/>
          <w:szCs w:val="24"/>
        </w:rPr>
        <w:t>. Conducător</w:t>
      </w:r>
      <w:r w:rsidR="006F24FC">
        <w:rPr>
          <w:rFonts w:ascii="Times New Roman" w:hAnsi="Times New Roman"/>
          <w:sz w:val="24"/>
          <w:szCs w:val="24"/>
        </w:rPr>
        <w:t>ul</w:t>
      </w:r>
      <w:r w:rsidR="00A637FB">
        <w:rPr>
          <w:rFonts w:ascii="Times New Roman" w:hAnsi="Times New Roman"/>
          <w:sz w:val="24"/>
          <w:szCs w:val="24"/>
        </w:rPr>
        <w:t xml:space="preserve"> instituți</w:t>
      </w:r>
      <w:r w:rsidR="006F24FC">
        <w:rPr>
          <w:rFonts w:ascii="Times New Roman" w:hAnsi="Times New Roman"/>
          <w:sz w:val="24"/>
          <w:szCs w:val="24"/>
        </w:rPr>
        <w:t>ei</w:t>
      </w:r>
      <w:r w:rsidR="00A637FB">
        <w:rPr>
          <w:rFonts w:ascii="Times New Roman" w:hAnsi="Times New Roman"/>
          <w:sz w:val="24"/>
          <w:szCs w:val="24"/>
        </w:rPr>
        <w:t xml:space="preserve"> nominalizate v</w:t>
      </w:r>
      <w:r w:rsidR="006F24FC">
        <w:rPr>
          <w:rFonts w:ascii="Times New Roman" w:hAnsi="Times New Roman"/>
          <w:sz w:val="24"/>
          <w:szCs w:val="24"/>
        </w:rPr>
        <w:t>a</w:t>
      </w:r>
      <w:r w:rsidR="00A637FB">
        <w:rPr>
          <w:rFonts w:ascii="Times New Roman" w:hAnsi="Times New Roman"/>
          <w:sz w:val="24"/>
          <w:szCs w:val="24"/>
        </w:rPr>
        <w:t xml:space="preserve"> institui comisi</w:t>
      </w:r>
      <w:r w:rsidR="006F24FC">
        <w:rPr>
          <w:rFonts w:ascii="Times New Roman" w:hAnsi="Times New Roman"/>
          <w:sz w:val="24"/>
          <w:szCs w:val="24"/>
        </w:rPr>
        <w:t>a</w:t>
      </w:r>
      <w:r w:rsidR="00A637FB">
        <w:rPr>
          <w:rFonts w:ascii="Times New Roman" w:hAnsi="Times New Roman"/>
          <w:sz w:val="24"/>
          <w:szCs w:val="24"/>
        </w:rPr>
        <w:t xml:space="preserve"> de casare a mijloacelor fixe specificate, care va perfecta toate actele necesare și vor determina oportunitatea utilizării unor piese și materiale ale obiectelor casate, în conformitate cu prevederile legislației în vigoare.</w:t>
      </w:r>
    </w:p>
    <w:p w:rsidR="00A637FB" w:rsidRDefault="00A11BA3" w:rsidP="00A63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37FB">
        <w:rPr>
          <w:rFonts w:ascii="Times New Roman" w:hAnsi="Times New Roman"/>
          <w:sz w:val="24"/>
          <w:szCs w:val="24"/>
        </w:rPr>
        <w:t>. Comisia de casare va activa în conformitate cu prevederile Regulamentului privind casarea bunurilor uzate, raportate la mijloacele fixe, aprobat prin Hotărârea Guvernului Republicii Moldova nr. 500 din 12 mai 1998.</w:t>
      </w:r>
    </w:p>
    <w:p w:rsidR="00A637FB" w:rsidRDefault="00A11BA3" w:rsidP="00A637F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4</w:t>
      </w:r>
      <w:r w:rsidR="00A637FB">
        <w:rPr>
          <w:rFonts w:ascii="Times New Roman" w:hAnsi="Times New Roman"/>
          <w:sz w:val="24"/>
          <w:szCs w:val="24"/>
          <w:lang w:val="ro-MO"/>
        </w:rPr>
        <w:t>. Contabilitățile instituțiilor vor opera modificările respective în evidența contabilă, conform legislației în vigoare și actelor de casare.</w:t>
      </w:r>
    </w:p>
    <w:p w:rsidR="00A637FB" w:rsidRPr="00577685" w:rsidRDefault="00A11BA3" w:rsidP="0057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85">
        <w:rPr>
          <w:rFonts w:ascii="Times New Roman" w:hAnsi="Times New Roman" w:cs="Times New Roman"/>
          <w:sz w:val="24"/>
          <w:szCs w:val="24"/>
        </w:rPr>
        <w:t>5</w:t>
      </w:r>
      <w:r w:rsidR="00A637FB" w:rsidRPr="00577685">
        <w:rPr>
          <w:rFonts w:ascii="Times New Roman" w:hAnsi="Times New Roman" w:cs="Times New Roman"/>
          <w:sz w:val="24"/>
          <w:szCs w:val="24"/>
        </w:rPr>
        <w:t xml:space="preserve">. Controlul executării prezentei decizii se atribuie dnei Ina </w:t>
      </w:r>
      <w:proofErr w:type="spellStart"/>
      <w:r w:rsidR="00A637FB" w:rsidRPr="00577685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="00A637FB" w:rsidRPr="00577685">
        <w:rPr>
          <w:rFonts w:ascii="Times New Roman" w:hAnsi="Times New Roman" w:cs="Times New Roman"/>
          <w:sz w:val="24"/>
          <w:szCs w:val="24"/>
        </w:rPr>
        <w:t>, șefă a direcție finanțe.</w:t>
      </w:r>
    </w:p>
    <w:p w:rsidR="00577685" w:rsidRPr="00577685" w:rsidRDefault="00577685" w:rsidP="0057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685">
        <w:rPr>
          <w:rFonts w:ascii="Times New Roman" w:hAnsi="Times New Roman" w:cs="Times New Roman"/>
          <w:sz w:val="24"/>
          <w:szCs w:val="24"/>
        </w:rPr>
        <w:t>6. Prezenta decizie poate fi contestată cu cerere prealabilă la autoritatea emitentă cu sediul                        or. Ștefan Vodă, str. Libertății nr. 1 sau la Judecătoria Căușeni (sediul or. Ștefan Vodă,                              str. Grigore Vieru nr. 6), în termen de 30 de zile din data publicării, potrivit prevederilor                      Codului administrativ al Republ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7685">
        <w:rPr>
          <w:rFonts w:ascii="Times New Roman" w:hAnsi="Times New Roman" w:cs="Times New Roman"/>
          <w:sz w:val="24"/>
          <w:szCs w:val="24"/>
        </w:rPr>
        <w:t>cii Moldova nr. 116/2018.</w:t>
      </w:r>
    </w:p>
    <w:p w:rsidR="00A637FB" w:rsidRPr="00577685" w:rsidRDefault="00577685" w:rsidP="0057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7FB" w:rsidRPr="00577685">
        <w:rPr>
          <w:rFonts w:ascii="Times New Roman" w:hAnsi="Times New Roman" w:cs="Times New Roman"/>
          <w:sz w:val="24"/>
          <w:szCs w:val="24"/>
        </w:rPr>
        <w:t>. Prezenta decizie se include în Registrul actelor locale (</w:t>
      </w:r>
      <w:proofErr w:type="spellStart"/>
      <w:r w:rsidR="00A637FB" w:rsidRPr="00577685">
        <w:rPr>
          <w:rFonts w:ascii="Times New Roman" w:hAnsi="Times New Roman" w:cs="Times New Roman"/>
          <w:sz w:val="24"/>
          <w:szCs w:val="24"/>
        </w:rPr>
        <w:t>actelocale.gov.md</w:t>
      </w:r>
      <w:proofErr w:type="spellEnd"/>
      <w:r w:rsidR="00A637FB" w:rsidRPr="00577685">
        <w:rPr>
          <w:rFonts w:ascii="Times New Roman" w:hAnsi="Times New Roman" w:cs="Times New Roman"/>
          <w:sz w:val="24"/>
          <w:szCs w:val="24"/>
        </w:rPr>
        <w:t>), se publică pe pagina web a Consiliului raional Ştefan Vodă şi se aduce la cunoștință:</w:t>
      </w:r>
    </w:p>
    <w:p w:rsidR="00A637FB" w:rsidRPr="00577685" w:rsidRDefault="00A637FB" w:rsidP="0057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7685">
        <w:rPr>
          <w:rFonts w:ascii="Times New Roman" w:hAnsi="Times New Roman" w:cs="Times New Roman"/>
          <w:sz w:val="24"/>
          <w:szCs w:val="24"/>
          <w:lang w:val="ro-MO"/>
        </w:rPr>
        <w:t xml:space="preserve">IMSP Centrul de sănătate </w:t>
      </w:r>
      <w:proofErr w:type="spellStart"/>
      <w:r w:rsidR="006F24FC" w:rsidRPr="00577685">
        <w:rPr>
          <w:rFonts w:ascii="Times New Roman" w:hAnsi="Times New Roman" w:cs="Times New Roman"/>
          <w:sz w:val="24"/>
          <w:szCs w:val="24"/>
          <w:lang w:val="ro-MO"/>
        </w:rPr>
        <w:t>Talmaza</w:t>
      </w:r>
      <w:proofErr w:type="spellEnd"/>
      <w:r w:rsidRPr="0057768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637FB" w:rsidRDefault="00A637FB" w:rsidP="0057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85">
        <w:rPr>
          <w:rFonts w:ascii="Times New Roman" w:hAnsi="Times New Roman" w:cs="Times New Roman"/>
          <w:sz w:val="24"/>
          <w:szCs w:val="24"/>
        </w:rPr>
        <w:t xml:space="preserve">                  Direcţiei finanţe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7FB" w:rsidRDefault="00A637FB" w:rsidP="005776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637FB" w:rsidRDefault="00A637FB" w:rsidP="005776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637FB" w:rsidRDefault="00A637FB" w:rsidP="00577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7FB" w:rsidRDefault="00A637FB" w:rsidP="00A637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7FB" w:rsidRDefault="00A637FB" w:rsidP="00A63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Președintele ședinței                                                                                </w:t>
      </w:r>
    </w:p>
    <w:p w:rsidR="00A637FB" w:rsidRDefault="00A637FB" w:rsidP="00A63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Contrasemnează</w:t>
      </w:r>
    </w:p>
    <w:p w:rsidR="00A637FB" w:rsidRDefault="00A637FB" w:rsidP="00A63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Secretarul Consiliului raional                                                                 Ion Țurcan</w:t>
      </w:r>
      <w:bookmarkStart w:id="0" w:name="_GoBack"/>
      <w:bookmarkEnd w:id="0"/>
    </w:p>
    <w:p w:rsidR="00A637FB" w:rsidRDefault="00A637FB" w:rsidP="00A63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7FB" w:rsidRDefault="00A637FB" w:rsidP="00A637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37FB" w:rsidRDefault="00A637FB" w:rsidP="00A637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37FB" w:rsidRDefault="00A637FB" w:rsidP="00A637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A637FB">
          <w:pgSz w:w="11906" w:h="16838"/>
          <w:pgMar w:top="567" w:right="851" w:bottom="709" w:left="1276" w:header="709" w:footer="709" w:gutter="0"/>
          <w:cols w:space="708"/>
        </w:sectPr>
      </w:pPr>
    </w:p>
    <w:p w:rsidR="00A637FB" w:rsidRDefault="00A637FB" w:rsidP="00A637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37FB" w:rsidRDefault="00A637FB" w:rsidP="00A637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Ştefan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Vodă</w:t>
      </w:r>
      <w:proofErr w:type="spellEnd"/>
    </w:p>
    <w:p w:rsidR="00A637FB" w:rsidRDefault="00A637FB" w:rsidP="00A637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06CAF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/1</w:t>
      </w:r>
      <w:r w:rsidR="00925A3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r w:rsidR="000247AA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57768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0247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aprilie</w:t>
      </w:r>
      <w:r w:rsidR="007876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202</w:t>
      </w:r>
      <w:r w:rsidR="00E06CA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06CAF" w:rsidRDefault="00E06CAF" w:rsidP="00E06C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06CAF" w:rsidRDefault="00E06CAF" w:rsidP="00E0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Registrul mijloacelor fixe ce urmează a fi casate la </w:t>
      </w:r>
      <w:r>
        <w:rPr>
          <w:rFonts w:ascii="Times New Roman" w:hAnsi="Times New Roman" w:cs="Times New Roman"/>
          <w:b/>
          <w:sz w:val="24"/>
          <w:szCs w:val="24"/>
        </w:rPr>
        <w:t xml:space="preserve">IMSP Centrul de sănătate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Talmaza</w:t>
      </w:r>
      <w:proofErr w:type="spellEnd"/>
    </w:p>
    <w:p w:rsidR="00E06CAF" w:rsidRPr="00E06CAF" w:rsidRDefault="00E06CAF" w:rsidP="00E06C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90"/>
        <w:tblOverlap w:val="never"/>
        <w:tblW w:w="14079" w:type="dxa"/>
        <w:tblLayout w:type="fixed"/>
        <w:tblLook w:val="00A0"/>
      </w:tblPr>
      <w:tblGrid>
        <w:gridCol w:w="521"/>
        <w:gridCol w:w="3352"/>
        <w:gridCol w:w="1417"/>
        <w:gridCol w:w="1595"/>
        <w:gridCol w:w="1949"/>
        <w:gridCol w:w="3260"/>
        <w:gridCol w:w="1985"/>
      </w:tblGrid>
      <w:tr w:rsidR="00037326" w:rsidTr="00D30565">
        <w:trPr>
          <w:trHeight w:val="81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Nr.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d/o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Denumirea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şi marca mijlocului fix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Cantitatea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(unități)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punerii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în funcţiune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Costul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de intrare/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valoarea iniţială,lei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37326" w:rsidRDefault="00037326" w:rsidP="00E06CAF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Valoarea contabilă</w:t>
            </w:r>
          </w:p>
          <w:p w:rsidR="00037326" w:rsidRDefault="00037326" w:rsidP="0003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/de bilanţ, lei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Gradul</w:t>
            </w:r>
          </w:p>
          <w:p w:rsidR="00037326" w:rsidRDefault="00037326" w:rsidP="00E0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amortizării/ uzurii,%</w:t>
            </w:r>
          </w:p>
        </w:tc>
      </w:tr>
      <w:tr w:rsidR="00037326" w:rsidTr="00D30565">
        <w:trPr>
          <w:trHeight w:val="24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3751C7" w:rsidRDefault="00037326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Default="00037326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Default="00037326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225742,00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225742,00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37326" w:rsidTr="00D30565">
        <w:trPr>
          <w:trHeight w:val="24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3751C7" w:rsidRDefault="00037326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Default="00037326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 UVC-3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Default="0056549F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4774,00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4774,00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7326" w:rsidRPr="004D4A1D" w:rsidRDefault="00037326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47E2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Pr="003751C7" w:rsidRDefault="006F47E2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Default="006F47E2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Cântar medical pentru maturi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Default="006F47E2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Pr="004D4A1D" w:rsidRDefault="006F47E2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Pr="004D4A1D" w:rsidRDefault="006F47E2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3498,00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Pr="004D4A1D" w:rsidRDefault="006F47E2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3498,00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47E2" w:rsidRPr="004D4A1D" w:rsidRDefault="006F47E2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5941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Pr="003751C7" w:rsidRDefault="00755941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Default="00755941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Dulap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Popinel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Default="00755941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Pr="004D4A1D" w:rsidRDefault="00755941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Pr="004D4A1D" w:rsidRDefault="00755941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5103,00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Pr="004D4A1D" w:rsidRDefault="004A73C0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5103,00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55941" w:rsidRPr="004D4A1D" w:rsidRDefault="00755941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0D54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3751C7" w:rsidRDefault="00CE0D54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Default="00CE0D54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Electrocardiograf portabil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Default="00CE0D54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16667,00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16667,00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E0D54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3751C7" w:rsidRDefault="00CE0D54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Default="00CE0D54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Frigider Arctic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Default="00CE0D54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2622,50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2622,50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E0D54" w:rsidRPr="004D4A1D" w:rsidRDefault="00CE0D54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4A1D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Pr="003751C7" w:rsidRDefault="004D4A1D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Default="004D4A1D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Frigider MK-4010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Default="004D4A1D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Pr="004D4A1D" w:rsidRDefault="004D4A1D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Pr="004D4A1D" w:rsidRDefault="004D4A1D" w:rsidP="004D4A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3033,00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Pr="004D4A1D" w:rsidRDefault="004D4A1D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3033,00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4A1D" w:rsidRPr="004D4A1D" w:rsidRDefault="004D4A1D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Instalație pentru copii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renghen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</w:pPr>
            <w:r>
              <w:t>1989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3069,00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3069,00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Masă de examinare a sugacilor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</w:pPr>
            <w: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3751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3261,00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3261,00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3751C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Otooftalmoscop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</w:pPr>
            <w: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4629,00x3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13887,00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de tonometrie oculară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</w:pPr>
            <w:r>
              <w:t>2004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717,02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717,02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751C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 UVC 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1432,00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1432,00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Pr="000D57FA" w:rsidRDefault="003751C7" w:rsidP="00E06C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51C7" w:rsidTr="00D30565">
        <w:trPr>
          <w:trHeight w:val="34"/>
        </w:trPr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1C7" w:rsidRDefault="003751C7" w:rsidP="00E06CA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284171,52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1C7" w:rsidRDefault="003751C7" w:rsidP="00E06CA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B73D5" w:rsidRDefault="007B73D5" w:rsidP="00D30565"/>
    <w:sectPr w:rsidR="007B73D5" w:rsidSect="00A637F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7FB"/>
    <w:rsid w:val="000247AA"/>
    <w:rsid w:val="00037326"/>
    <w:rsid w:val="000D57FA"/>
    <w:rsid w:val="00164031"/>
    <w:rsid w:val="001D56B5"/>
    <w:rsid w:val="001E493E"/>
    <w:rsid w:val="00224E51"/>
    <w:rsid w:val="0024173C"/>
    <w:rsid w:val="003375C3"/>
    <w:rsid w:val="003751C7"/>
    <w:rsid w:val="00387357"/>
    <w:rsid w:val="003B41D5"/>
    <w:rsid w:val="00430125"/>
    <w:rsid w:val="0047425E"/>
    <w:rsid w:val="004A73C0"/>
    <w:rsid w:val="004D4A1D"/>
    <w:rsid w:val="005409B5"/>
    <w:rsid w:val="0056549F"/>
    <w:rsid w:val="00577685"/>
    <w:rsid w:val="006F24FC"/>
    <w:rsid w:val="006F47E2"/>
    <w:rsid w:val="00755941"/>
    <w:rsid w:val="00783672"/>
    <w:rsid w:val="007876D8"/>
    <w:rsid w:val="007B73D5"/>
    <w:rsid w:val="00925A3E"/>
    <w:rsid w:val="009C1BA8"/>
    <w:rsid w:val="00A11BA3"/>
    <w:rsid w:val="00A637FB"/>
    <w:rsid w:val="00C16FD8"/>
    <w:rsid w:val="00C204F1"/>
    <w:rsid w:val="00CE0D54"/>
    <w:rsid w:val="00D30565"/>
    <w:rsid w:val="00E04973"/>
    <w:rsid w:val="00E0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FB"/>
    <w:pPr>
      <w:widowControl/>
      <w:autoSpaceDE/>
      <w:autoSpaceDN/>
      <w:spacing w:after="200" w:line="276" w:lineRule="auto"/>
    </w:pPr>
    <w:rPr>
      <w:lang w:val="ro-RO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widowControl w:val="0"/>
      <w:autoSpaceDE w:val="0"/>
      <w:autoSpaceDN w:val="0"/>
      <w:spacing w:after="0" w:line="537" w:lineRule="exact"/>
      <w:ind w:left="531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widowControl w:val="0"/>
      <w:autoSpaceDE w:val="0"/>
      <w:autoSpaceDN w:val="0"/>
      <w:spacing w:after="0" w:line="240" w:lineRule="auto"/>
      <w:ind w:left="907" w:right="48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widowControl w:val="0"/>
      <w:autoSpaceDE w:val="0"/>
      <w:autoSpaceDN w:val="0"/>
      <w:spacing w:after="0" w:line="329" w:lineRule="exact"/>
      <w:jc w:val="right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  <w:ind w:left="413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8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A637FB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637F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7F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2024-02-16T07:37:00Z</dcterms:created>
  <dcterms:modified xsi:type="dcterms:W3CDTF">2024-03-22T10:45:00Z</dcterms:modified>
</cp:coreProperties>
</file>