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D3" w:rsidRPr="003B6BD3" w:rsidRDefault="003B6BD3" w:rsidP="003B6B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707BFB" w:rsidRPr="003B6BD3" w:rsidRDefault="00707BFB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07BFB" w:rsidRPr="003B6BD3" w:rsidRDefault="00707BFB" w:rsidP="00C74F5A">
      <w:pPr>
        <w:spacing w:after="0" w:line="240" w:lineRule="auto"/>
        <w:jc w:val="center"/>
        <w:rPr>
          <w:b/>
          <w:lang w:val="ro-MO" w:eastAsia="ru-RU"/>
        </w:rPr>
      </w:pPr>
      <w:r w:rsidRPr="003B6BD3">
        <w:rPr>
          <w:i/>
          <w:noProof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341"/>
        <w:tblW w:w="5000" w:type="pct"/>
        <w:tblLook w:val="04A0"/>
      </w:tblPr>
      <w:tblGrid>
        <w:gridCol w:w="9714"/>
      </w:tblGrid>
      <w:tr w:rsidR="00707BFB" w:rsidRPr="003B6BD3" w:rsidTr="00707BFB">
        <w:trPr>
          <w:trHeight w:val="539"/>
        </w:trPr>
        <w:tc>
          <w:tcPr>
            <w:tcW w:w="5000" w:type="pct"/>
            <w:hideMark/>
          </w:tcPr>
          <w:p w:rsidR="00707BFB" w:rsidRPr="003B6BD3" w:rsidRDefault="00707BFB" w:rsidP="00C74F5A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B6BD3">
              <w:rPr>
                <w:b/>
                <w:bCs/>
                <w:sz w:val="24"/>
                <w:szCs w:val="24"/>
                <w:lang w:val="ro-MO"/>
              </w:rPr>
              <w:t>REPUBLICAMOLDOVA</w:t>
            </w:r>
          </w:p>
          <w:p w:rsidR="00707BFB" w:rsidRPr="003B6BD3" w:rsidRDefault="00707BFB" w:rsidP="00C7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B6BD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707BFB" w:rsidRPr="003B6BD3" w:rsidRDefault="00707BFB" w:rsidP="00C7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t>DECIZIE nr. 3/14</w:t>
      </w:r>
    </w:p>
    <w:p w:rsidR="00707BFB" w:rsidRPr="003B6BD3" w:rsidRDefault="00707BFB" w:rsidP="00C74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t>din 12 iunie 2020</w:t>
      </w:r>
    </w:p>
    <w:p w:rsidR="00707BFB" w:rsidRPr="003B6BD3" w:rsidRDefault="00707BFB" w:rsidP="00C74F5A">
      <w:pPr>
        <w:tabs>
          <w:tab w:val="num" w:pos="399"/>
          <w:tab w:val="num" w:pos="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707BFB" w:rsidRPr="003B6BD3" w:rsidRDefault="00707BFB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B7EC9" w:rsidRPr="003B6BD3" w:rsidRDefault="00707BFB" w:rsidP="003B6BD3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Cu privire la situația </w:t>
      </w:r>
      <w:hyperlink r:id="rId7" w:history="1">
        <w:r w:rsidRPr="003B6BD3">
          <w:rPr>
            <w:rStyle w:val="a4"/>
            <w:rFonts w:ascii="Times New Roman" w:hAnsi="Times New Roman" w:cs="Times New Roman"/>
            <w:color w:val="auto"/>
            <w:spacing w:val="-12"/>
            <w:sz w:val="24"/>
            <w:szCs w:val="24"/>
            <w:u w:val="none"/>
            <w:lang w:val="ro-MO"/>
          </w:rPr>
          <w:t xml:space="preserve">epidemiologică </w:t>
        </w:r>
        <w:r w:rsidR="008B7EC9" w:rsidRPr="003B6BD3">
          <w:rPr>
            <w:rStyle w:val="a4"/>
            <w:rFonts w:ascii="Times New Roman" w:hAnsi="Times New Roman" w:cs="Times New Roman"/>
            <w:color w:val="auto"/>
            <w:spacing w:val="-12"/>
            <w:sz w:val="24"/>
            <w:szCs w:val="24"/>
            <w:u w:val="none"/>
            <w:lang w:val="ro-MO"/>
          </w:rPr>
          <w:t>(</w:t>
        </w:r>
        <w:r w:rsidRPr="003B6BD3">
          <w:rPr>
            <w:rStyle w:val="a4"/>
            <w:rFonts w:ascii="Times New Roman" w:hAnsi="Times New Roman" w:cs="Times New Roman"/>
            <w:color w:val="auto"/>
            <w:spacing w:val="-12"/>
            <w:sz w:val="24"/>
            <w:szCs w:val="24"/>
            <w:u w:val="none"/>
            <w:lang w:val="ro-MO"/>
          </w:rPr>
          <w:t>COVID</w:t>
        </w:r>
      </w:hyperlink>
      <w:r w:rsidRPr="003B6BD3">
        <w:rPr>
          <w:rFonts w:ascii="Times New Roman" w:hAnsi="Times New Roman" w:cs="Times New Roman"/>
          <w:spacing w:val="-12"/>
          <w:sz w:val="24"/>
          <w:szCs w:val="24"/>
          <w:lang w:val="ro-MO"/>
        </w:rPr>
        <w:t xml:space="preserve"> 19</w:t>
      </w:r>
      <w:r w:rsidR="008B7EC9" w:rsidRPr="003B6BD3">
        <w:rPr>
          <w:rFonts w:ascii="Times New Roman" w:hAnsi="Times New Roman" w:cs="Times New Roman"/>
          <w:spacing w:val="-12"/>
          <w:sz w:val="24"/>
          <w:szCs w:val="24"/>
          <w:lang w:val="ro-MO"/>
        </w:rPr>
        <w:t>)</w:t>
      </w:r>
      <w:r w:rsidRPr="003B6BD3">
        <w:rPr>
          <w:rFonts w:ascii="Times New Roman" w:hAnsi="Times New Roman" w:cs="Times New Roman"/>
          <w:spacing w:val="-12"/>
          <w:sz w:val="24"/>
          <w:szCs w:val="24"/>
          <w:lang w:val="ro-MO"/>
        </w:rPr>
        <w:t xml:space="preserve"> </w:t>
      </w:r>
    </w:p>
    <w:p w:rsidR="00707BFB" w:rsidRPr="003B6BD3" w:rsidRDefault="008B7EC9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pacing w:val="-12"/>
          <w:sz w:val="24"/>
          <w:szCs w:val="24"/>
          <w:lang w:val="ro-MO"/>
        </w:rPr>
        <w:t xml:space="preserve">și măsurile de prevenire a răspândirii maladiei în </w:t>
      </w:r>
      <w:r w:rsidR="00707BFB" w:rsidRPr="003B6BD3">
        <w:rPr>
          <w:rFonts w:ascii="Times New Roman" w:hAnsi="Times New Roman" w:cs="Times New Roman"/>
          <w:spacing w:val="-12"/>
          <w:sz w:val="24"/>
          <w:szCs w:val="24"/>
          <w:lang w:val="ro-MO"/>
        </w:rPr>
        <w:t>raionul Ștefan Vodă</w:t>
      </w:r>
    </w:p>
    <w:p w:rsidR="00707BFB" w:rsidRPr="003B6BD3" w:rsidRDefault="00707BFB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07BFB" w:rsidRPr="003B6BD3" w:rsidRDefault="00707BFB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07BFB" w:rsidRPr="003B6BD3" w:rsidRDefault="00707BFB" w:rsidP="003B6BD3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În scopul informării corecte a populației și sporirii măsurilor de precauție în răspândirea pandemiei cu virusul Covid-19</w:t>
      </w:r>
      <w:r w:rsidR="00C74F5A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707BFB" w:rsidRPr="003B6BD3" w:rsidRDefault="00707BFB" w:rsidP="003B6BD3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B63B11" w:rsidRPr="003B6BD3" w:rsidRDefault="00B63B11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B3251" w:rsidRPr="003B6BD3" w:rsidRDefault="00707BFB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1. Se ia act de rapo</w:t>
      </w:r>
      <w:r w:rsidR="00EB3251" w:rsidRPr="003B6BD3">
        <w:rPr>
          <w:rFonts w:ascii="Times New Roman" w:hAnsi="Times New Roman" w:cs="Times New Roman"/>
          <w:sz w:val="24"/>
          <w:szCs w:val="24"/>
          <w:lang w:val="ro-MO"/>
        </w:rPr>
        <w:t>rtul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prezentat de domnul Valeriu Boian, </w:t>
      </w:r>
      <w:r w:rsidR="00EB3251" w:rsidRPr="003B6BD3">
        <w:rPr>
          <w:rFonts w:ascii="Times New Roman" w:hAnsi="Times New Roman" w:cs="Times New Roman"/>
          <w:sz w:val="24"/>
          <w:szCs w:val="24"/>
          <w:lang w:val="ro-MO"/>
        </w:rPr>
        <w:t>coordonator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al Serviciului Supraveghere Sănătate Publică Ștefan Vodă, </w:t>
      </w:r>
      <w:r w:rsidR="00EB3251"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cu privire la situația </w:t>
      </w:r>
      <w:hyperlink r:id="rId8" w:history="1">
        <w:r w:rsidR="00EB3251" w:rsidRPr="003B6BD3">
          <w:rPr>
            <w:rStyle w:val="a4"/>
            <w:rFonts w:ascii="Times New Roman" w:hAnsi="Times New Roman" w:cs="Times New Roman"/>
            <w:color w:val="auto"/>
            <w:spacing w:val="-12"/>
            <w:sz w:val="24"/>
            <w:szCs w:val="24"/>
            <w:u w:val="none"/>
            <w:lang w:val="ro-MO"/>
          </w:rPr>
          <w:t>epidemiologică (COVID</w:t>
        </w:r>
      </w:hyperlink>
      <w:r w:rsidR="00EB3251" w:rsidRPr="003B6BD3">
        <w:rPr>
          <w:rFonts w:ascii="Times New Roman" w:hAnsi="Times New Roman" w:cs="Times New Roman"/>
          <w:spacing w:val="-12"/>
          <w:sz w:val="24"/>
          <w:szCs w:val="24"/>
          <w:lang w:val="ro-MO"/>
        </w:rPr>
        <w:t xml:space="preserve"> 19)  și măsurile de prevenire a răspândirii maladiei în raionul Ștefan Vodă.</w:t>
      </w:r>
    </w:p>
    <w:p w:rsidR="00B63B11" w:rsidRPr="003B6BD3" w:rsidRDefault="00EB3251" w:rsidP="003B6B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B63B11" w:rsidRPr="003B6BD3">
        <w:rPr>
          <w:rFonts w:ascii="Times New Roman" w:hAnsi="Times New Roman" w:cs="Times New Roman"/>
          <w:sz w:val="24"/>
          <w:szCs w:val="24"/>
          <w:lang w:val="ro-MO"/>
        </w:rPr>
        <w:t>Se aprobă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63B11"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Planul </w:t>
      </w:r>
      <w:r w:rsidR="00B63B11" w:rsidRPr="003B6BD3">
        <w:rPr>
          <w:rFonts w:ascii="Times New Roman" w:eastAsia="Calibri" w:hAnsi="Times New Roman" w:cs="Times New Roman"/>
          <w:sz w:val="24"/>
          <w:szCs w:val="24"/>
          <w:lang w:val="ro-MO"/>
        </w:rPr>
        <w:t>de măsuri pentru prevenirea și control infecției de tip nou COVID-19 în raionul Ștefan Vodă,</w:t>
      </w:r>
      <w:r w:rsidR="00B63B11" w:rsidRPr="003B6BD3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 </w:t>
      </w:r>
      <w:r w:rsidR="00B63B11" w:rsidRPr="003B6BD3">
        <w:rPr>
          <w:rFonts w:ascii="Times New Roman" w:eastAsia="Calibri" w:hAnsi="Times New Roman" w:cs="Times New Roman"/>
          <w:i/>
          <w:sz w:val="24"/>
          <w:szCs w:val="24"/>
          <w:lang w:val="ro-MO"/>
        </w:rPr>
        <w:t>conform anexei</w:t>
      </w:r>
      <w:r w:rsidR="00B63B11" w:rsidRPr="003B6BD3">
        <w:rPr>
          <w:rFonts w:ascii="Times New Roman" w:eastAsia="Calibri" w:hAnsi="Times New Roman" w:cs="Times New Roman"/>
          <w:b/>
          <w:sz w:val="24"/>
          <w:szCs w:val="24"/>
          <w:lang w:val="ro-MO"/>
        </w:rPr>
        <w:t>.</w:t>
      </w:r>
    </w:p>
    <w:p w:rsidR="00707BFB" w:rsidRPr="003B6BD3" w:rsidRDefault="00B63B11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707BFB" w:rsidRPr="003B6BD3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atribuie dlui Vasile Maxim, președinte al raionului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07BFB" w:rsidRPr="003B6BD3" w:rsidRDefault="00B63B11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707BFB" w:rsidRPr="003B6BD3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707BFB" w:rsidRPr="003B6BD3" w:rsidRDefault="00707BFB" w:rsidP="003B6BD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707BFB" w:rsidRPr="003B6BD3" w:rsidRDefault="00707BFB" w:rsidP="003B6BD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IMSP Spitalul raional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Vodă;</w:t>
      </w:r>
    </w:p>
    <w:p w:rsidR="00707BFB" w:rsidRPr="003B6BD3" w:rsidRDefault="00707BFB" w:rsidP="003B6BD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IMSP Centrul de sănătate Ștefan Vodă;</w:t>
      </w:r>
    </w:p>
    <w:p w:rsidR="00B63B11" w:rsidRPr="003B6BD3" w:rsidRDefault="00B63B11" w:rsidP="003B6BD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Serviciului Supraveghere Sănătate Publică Ștefan Vodă;</w:t>
      </w:r>
    </w:p>
    <w:p w:rsidR="00707BFB" w:rsidRPr="003B6BD3" w:rsidRDefault="00707BFB" w:rsidP="003B6BD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707BFB" w:rsidRPr="003B6BD3" w:rsidRDefault="00707BFB" w:rsidP="003B6BD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a Consiliului raional Ştefan Vodă. </w:t>
      </w:r>
    </w:p>
    <w:p w:rsidR="00707BFB" w:rsidRPr="003B6BD3" w:rsidRDefault="00707BFB" w:rsidP="003B6BD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07BFB" w:rsidRPr="003B6BD3" w:rsidRDefault="00707BFB" w:rsidP="003B6BD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07BFB" w:rsidRPr="003B6BD3" w:rsidRDefault="00707BFB" w:rsidP="003B6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07BFB" w:rsidRPr="003B6BD3" w:rsidRDefault="00707BFB" w:rsidP="003B6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63B11" w:rsidRPr="003B6BD3" w:rsidRDefault="00B63B11" w:rsidP="003B6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07BFB" w:rsidRPr="003B6BD3" w:rsidRDefault="00707BFB" w:rsidP="003B6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Preşedintele şedinţei                                                                                 </w:t>
      </w:r>
      <w:r w:rsidR="00F63BE0" w:rsidRPr="003B6BD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Maria Pălărie</w:t>
      </w:r>
    </w:p>
    <w:p w:rsidR="00707BFB" w:rsidRPr="003B6BD3" w:rsidRDefault="00707BFB" w:rsidP="003B6BD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707BFB" w:rsidRPr="003B6BD3" w:rsidRDefault="00707BFB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Secretarul Consiliului raional                                                                   Ion Ţurcan</w:t>
      </w:r>
    </w:p>
    <w:p w:rsidR="00707BFB" w:rsidRPr="003B6BD3" w:rsidRDefault="00707BFB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35DAA" w:rsidRPr="003B6BD3" w:rsidRDefault="00E35DAA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35DAA" w:rsidRPr="003B6BD3" w:rsidRDefault="00E35DAA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35DAA" w:rsidRPr="003B6BD3" w:rsidRDefault="00E35DAA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35DAA" w:rsidRPr="003B6BD3" w:rsidRDefault="00E35DAA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35DAA" w:rsidRPr="003B6BD3" w:rsidRDefault="00E35DAA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35DAA" w:rsidRPr="003B6BD3" w:rsidRDefault="00E35DAA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35DAA" w:rsidRPr="003B6BD3" w:rsidRDefault="00E35DAA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35DAA" w:rsidRPr="003B6BD3" w:rsidRDefault="00E35DAA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35DAA" w:rsidRPr="003B6BD3" w:rsidRDefault="00E35DAA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561C0" w:rsidRPr="003B6BD3" w:rsidRDefault="004561C0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561C0" w:rsidRPr="003B6BD3" w:rsidRDefault="004561C0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561C0" w:rsidRPr="003B6BD3" w:rsidRDefault="004561C0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561C0" w:rsidRPr="003B6BD3" w:rsidRDefault="004561C0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70432" w:rsidRPr="003B6BD3" w:rsidRDefault="00970432" w:rsidP="00C74F5A">
      <w:pPr>
        <w:spacing w:after="0" w:line="240" w:lineRule="auto"/>
        <w:ind w:left="5670" w:hanging="652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 xml:space="preserve">Anexa </w:t>
      </w:r>
    </w:p>
    <w:p w:rsidR="00970432" w:rsidRPr="003B6BD3" w:rsidRDefault="00970432" w:rsidP="00C74F5A">
      <w:pPr>
        <w:spacing w:after="0" w:line="240" w:lineRule="auto"/>
        <w:ind w:left="5670" w:hanging="652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970432" w:rsidRPr="003B6BD3" w:rsidRDefault="00970432" w:rsidP="00C74F5A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nr. 3/14 din 12 iunie 2020</w:t>
      </w:r>
    </w:p>
    <w:p w:rsidR="00E35DAA" w:rsidRPr="003B6BD3" w:rsidRDefault="00E35DAA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A1974" w:rsidRPr="003B6BD3" w:rsidRDefault="00970432" w:rsidP="00C74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t>Planul</w:t>
      </w:r>
      <w:r w:rsidR="007A1974" w:rsidRPr="003B6BD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B6BD3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de </w:t>
      </w:r>
      <w:r w:rsidR="00E35DAA" w:rsidRPr="003B6BD3">
        <w:rPr>
          <w:rFonts w:ascii="Times New Roman" w:eastAsia="Calibri" w:hAnsi="Times New Roman" w:cs="Times New Roman"/>
          <w:b/>
          <w:sz w:val="24"/>
          <w:szCs w:val="24"/>
          <w:lang w:val="ro-MO"/>
        </w:rPr>
        <w:t>măsuri</w:t>
      </w:r>
    </w:p>
    <w:p w:rsidR="00E35DAA" w:rsidRPr="003B6BD3" w:rsidRDefault="00970432" w:rsidP="00C74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3B6BD3">
        <w:rPr>
          <w:rFonts w:ascii="Times New Roman" w:eastAsia="Calibri" w:hAnsi="Times New Roman" w:cs="Times New Roman"/>
          <w:b/>
          <w:sz w:val="24"/>
          <w:szCs w:val="24"/>
          <w:lang w:val="ro-MO"/>
        </w:rPr>
        <w:t>pentru</w:t>
      </w:r>
      <w:r w:rsidR="00E35DAA" w:rsidRPr="003B6BD3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 prevenire</w:t>
      </w:r>
      <w:r w:rsidRPr="003B6BD3">
        <w:rPr>
          <w:rFonts w:ascii="Times New Roman" w:eastAsia="Calibri" w:hAnsi="Times New Roman" w:cs="Times New Roman"/>
          <w:b/>
          <w:sz w:val="24"/>
          <w:szCs w:val="24"/>
          <w:lang w:val="ro-MO"/>
        </w:rPr>
        <w:t>a</w:t>
      </w:r>
      <w:r w:rsidR="00E35DAA" w:rsidRPr="003B6BD3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 și control infecției de tip nou COVID-19</w:t>
      </w:r>
    </w:p>
    <w:p w:rsidR="00E35DAA" w:rsidRPr="003B6BD3" w:rsidRDefault="00E35DAA" w:rsidP="00C74F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3B6BD3">
        <w:rPr>
          <w:rFonts w:ascii="Times New Roman" w:eastAsia="Calibri" w:hAnsi="Times New Roman" w:cs="Times New Roman"/>
          <w:b/>
          <w:sz w:val="24"/>
          <w:szCs w:val="24"/>
          <w:lang w:val="ro-MO"/>
        </w:rPr>
        <w:t>în r</w:t>
      </w:r>
      <w:r w:rsidR="00970432" w:rsidRPr="003B6BD3">
        <w:rPr>
          <w:rFonts w:ascii="Times New Roman" w:eastAsia="Calibri" w:hAnsi="Times New Roman" w:cs="Times New Roman"/>
          <w:b/>
          <w:sz w:val="24"/>
          <w:szCs w:val="24"/>
          <w:lang w:val="ro-MO"/>
        </w:rPr>
        <w:t>aionul</w:t>
      </w:r>
      <w:r w:rsidRPr="003B6BD3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 Ștefan Vodă</w:t>
      </w:r>
    </w:p>
    <w:tbl>
      <w:tblPr>
        <w:tblStyle w:val="1"/>
        <w:tblW w:w="9889" w:type="dxa"/>
        <w:tblLook w:val="04A0"/>
      </w:tblPr>
      <w:tblGrid>
        <w:gridCol w:w="556"/>
        <w:gridCol w:w="6782"/>
        <w:gridCol w:w="2551"/>
      </w:tblGrid>
      <w:tr w:rsidR="004B0590" w:rsidRPr="003B6BD3" w:rsidTr="0051756A">
        <w:tc>
          <w:tcPr>
            <w:tcW w:w="556" w:type="dxa"/>
            <w:tcBorders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b/>
                <w:sz w:val="16"/>
                <w:szCs w:val="16"/>
                <w:lang w:val="ro-MO"/>
              </w:rPr>
              <w:t>Nr. d/o</w:t>
            </w:r>
          </w:p>
        </w:tc>
        <w:tc>
          <w:tcPr>
            <w:tcW w:w="6782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Activități</w:t>
            </w:r>
          </w:p>
        </w:tc>
        <w:tc>
          <w:tcPr>
            <w:tcW w:w="2551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Responsabili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6782" w:type="dxa"/>
          </w:tcPr>
          <w:p w:rsidR="000D03B1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Instituirea  echipei de lucru cu COVID-19,</w:t>
            </w:r>
          </w:p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cu delimitarea funcțiilor</w:t>
            </w:r>
          </w:p>
        </w:tc>
        <w:tc>
          <w:tcPr>
            <w:tcW w:w="2551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Coordonator</w:t>
            </w:r>
          </w:p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medic epidemiolog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6782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Instruirea personalului implicat în lucru cu COVID-19</w:t>
            </w:r>
          </w:p>
        </w:tc>
        <w:tc>
          <w:tcPr>
            <w:tcW w:w="2551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Coordonator SSSP</w:t>
            </w:r>
          </w:p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medic epid</w:t>
            </w:r>
            <w:r w:rsidR="000D03B1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emiolog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.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3.</w:t>
            </w:r>
          </w:p>
        </w:tc>
        <w:tc>
          <w:tcPr>
            <w:tcW w:w="6782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Asigurarea colaboratorilor cu EPP, dezinfectanți, detergenți</w:t>
            </w:r>
          </w:p>
        </w:tc>
        <w:tc>
          <w:tcPr>
            <w:tcW w:w="2551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CSP Căușeni</w:t>
            </w:r>
          </w:p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Administrația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4.</w:t>
            </w:r>
          </w:p>
        </w:tc>
        <w:tc>
          <w:tcPr>
            <w:tcW w:w="6782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Dotarea colaboratorilor cu consumabile și documentația necesară</w:t>
            </w:r>
          </w:p>
        </w:tc>
        <w:tc>
          <w:tcPr>
            <w:tcW w:w="2551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CSP Căușeni</w:t>
            </w:r>
          </w:p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Administrația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5.</w:t>
            </w:r>
          </w:p>
        </w:tc>
        <w:tc>
          <w:tcPr>
            <w:tcW w:w="6782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Înregistrarea, anchetarea și formarea bazei de date a suspecților, bolnavilor și contacților</w:t>
            </w:r>
          </w:p>
        </w:tc>
        <w:tc>
          <w:tcPr>
            <w:tcW w:w="2551" w:type="dxa"/>
          </w:tcPr>
          <w:p w:rsidR="00E55B61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Coordonator </w:t>
            </w:r>
          </w:p>
          <w:p w:rsidR="004B0590" w:rsidRPr="003B6BD3" w:rsidRDefault="00E55B61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</w:t>
            </w:r>
            <w:r w:rsidR="004B0590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edic epidemiolog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6.</w:t>
            </w:r>
          </w:p>
        </w:tc>
        <w:tc>
          <w:tcPr>
            <w:tcW w:w="6782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Primirea fișelor epidemiologice a persoanelor revenite în țară  prelucrarea și informarea AMP și APL pentru supraveghere.</w:t>
            </w:r>
          </w:p>
        </w:tc>
        <w:tc>
          <w:tcPr>
            <w:tcW w:w="2551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medic epidemiolog</w:t>
            </w:r>
          </w:p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a/m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7.</w:t>
            </w:r>
          </w:p>
        </w:tc>
        <w:tc>
          <w:tcPr>
            <w:tcW w:w="6782" w:type="dxa"/>
          </w:tcPr>
          <w:p w:rsidR="001F78CC" w:rsidRPr="003B6BD3" w:rsidRDefault="004B0590" w:rsidP="003B6BD3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Informarea de urgenta in cazul </w:t>
            </w:r>
            <w:r w:rsidR="003B6BD3"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depistării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persoanelor suspecte/bolnave cu </w:t>
            </w:r>
            <w:r w:rsidR="003B6BD3"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infecția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cu Coronavirusul de tip nou (2019-nCoV) a </w:t>
            </w:r>
            <w:r w:rsidR="003B6BD3"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Agenției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B6BD3"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Naționale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pentru </w:t>
            </w:r>
            <w:r w:rsidR="003B6BD3"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Sănătate</w:t>
            </w:r>
            <w:r w:rsidRPr="003B6BD3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Publica</w:t>
            </w:r>
            <w:r w:rsidRPr="003B6BD3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la</w:t>
            </w:r>
            <w:r w:rsidRPr="003B6BD3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tel/fax</w:t>
            </w:r>
            <w:r w:rsidRPr="003B6BD3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022</w:t>
            </w:r>
            <w:r w:rsidRPr="003B6BD3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574-557,</w:t>
            </w:r>
            <w:r w:rsidRPr="003B6BD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e-mail</w:t>
            </w:r>
            <w:r w:rsidRPr="003B6BD3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o-MO"/>
              </w:rPr>
              <w:t xml:space="preserve"> </w:t>
            </w:r>
            <w:hyperlink r:id="rId9">
              <w:r w:rsidRPr="003B6B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o-MO"/>
                </w:rPr>
                <w:t>smasp@ansp.gov.md</w:t>
              </w:r>
              <w:r w:rsidRPr="003B6BD3">
                <w:rPr>
                  <w:rFonts w:ascii="Times New Roman" w:eastAsia="Times New Roman" w:hAnsi="Times New Roman" w:cs="Times New Roman"/>
                  <w:spacing w:val="-33"/>
                  <w:sz w:val="24"/>
                  <w:szCs w:val="24"/>
                  <w:lang w:val="ro-MO"/>
                </w:rPr>
                <w:t xml:space="preserve"> </w:t>
              </w:r>
            </w:hyperlink>
          </w:p>
          <w:p w:rsidR="004B0590" w:rsidRPr="003B6BD3" w:rsidRDefault="004B0590" w:rsidP="003B6BD3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si</w:t>
            </w:r>
            <w:r w:rsidRPr="003B6BD3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organizarea realiz</w:t>
            </w:r>
            <w:r w:rsidR="001F78CC"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rii</w:t>
            </w:r>
            <w:r w:rsidRPr="003B6B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măsurilor</w:t>
            </w:r>
            <w:r w:rsidRPr="003B6BD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de</w:t>
            </w:r>
            <w:r w:rsidRPr="003B6BD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s</w:t>
            </w:r>
            <w:r w:rsidR="001F78CC"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n</w:t>
            </w:r>
            <w:r w:rsidR="001F78CC"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tate</w:t>
            </w:r>
            <w:r w:rsidRPr="003B6BD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publică</w:t>
            </w:r>
            <w:r w:rsidRPr="003B6BD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la</w:t>
            </w:r>
            <w:r w:rsidRPr="003B6BD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locul</w:t>
            </w:r>
            <w:r w:rsidRPr="003B6B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depist</w:t>
            </w:r>
            <w:r w:rsidR="001F78CC"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rii</w:t>
            </w:r>
            <w:r w:rsidRPr="003B6B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si</w:t>
            </w:r>
            <w:r w:rsidRPr="003B6BD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spitalizării;</w:t>
            </w:r>
          </w:p>
        </w:tc>
        <w:tc>
          <w:tcPr>
            <w:tcW w:w="2551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medic epidemiolog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8.</w:t>
            </w:r>
          </w:p>
        </w:tc>
        <w:tc>
          <w:tcPr>
            <w:tcW w:w="6782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Informarea</w:t>
            </w:r>
            <w:r w:rsidRPr="003B6BD3">
              <w:rPr>
                <w:rFonts w:ascii="Times New Roman" w:eastAsia="Calibri" w:hAnsi="Times New Roman" w:cs="Times New Roman"/>
                <w:spacing w:val="-25"/>
                <w:sz w:val="24"/>
                <w:szCs w:val="24"/>
                <w:lang w:val="ro-MO"/>
              </w:rPr>
              <w:t xml:space="preserve"> </w:t>
            </w:r>
            <w:r w:rsidR="003B6BD3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autoritarilor</w:t>
            </w:r>
            <w:r w:rsidRPr="003B6BD3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publice</w:t>
            </w:r>
            <w:r w:rsidRPr="003B6BD3">
              <w:rPr>
                <w:rFonts w:ascii="Times New Roman" w:eastAsia="Calibri" w:hAnsi="Times New Roman" w:cs="Times New Roman"/>
                <w:spacing w:val="-27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locale,</w:t>
            </w:r>
            <w:r w:rsidRPr="003B6BD3">
              <w:rPr>
                <w:rFonts w:ascii="Times New Roman" w:eastAsia="Calibri" w:hAnsi="Times New Roman" w:cs="Times New Roman"/>
                <w:spacing w:val="-30"/>
                <w:sz w:val="24"/>
                <w:szCs w:val="24"/>
                <w:lang w:val="ro-MO"/>
              </w:rPr>
              <w:t xml:space="preserve"> </w:t>
            </w:r>
            <w:r w:rsidR="003B6BD3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direcțiilor</w:t>
            </w:r>
            <w:r w:rsidRPr="003B6BD3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teritoriale</w:t>
            </w:r>
            <w:r w:rsidRPr="003B6BD3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o-MO"/>
              </w:rPr>
              <w:t xml:space="preserve"> </w:t>
            </w:r>
            <w:r w:rsidR="003B6BD3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protecție</w:t>
            </w:r>
            <w:r w:rsidRPr="003B6BD3">
              <w:rPr>
                <w:rFonts w:ascii="Times New Roman" w:eastAsia="Calibri" w:hAnsi="Times New Roman" w:cs="Times New Roman"/>
                <w:spacing w:val="-24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civila</w:t>
            </w:r>
            <w:r w:rsidRPr="003B6BD3">
              <w:rPr>
                <w:rFonts w:ascii="Times New Roman" w:eastAsia="Calibri" w:hAnsi="Times New Roman" w:cs="Times New Roman"/>
                <w:spacing w:val="-31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si </w:t>
            </w:r>
            <w:r w:rsidR="003B6BD3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situații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3B6BD3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excepționale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, pentru coordonarea</w:t>
            </w:r>
            <w:r w:rsidRPr="003B6BD3">
              <w:rPr>
                <w:rFonts w:ascii="Times New Roman" w:eastAsia="Calibri" w:hAnsi="Times New Roman" w:cs="Times New Roman"/>
                <w:spacing w:val="-31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masurilor</w:t>
            </w:r>
          </w:p>
        </w:tc>
        <w:tc>
          <w:tcPr>
            <w:tcW w:w="2551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Coordonator SSSP</w:t>
            </w:r>
          </w:p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medic epidemiolog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9.</w:t>
            </w:r>
          </w:p>
        </w:tc>
        <w:tc>
          <w:tcPr>
            <w:tcW w:w="6782" w:type="dxa"/>
            <w:tcBorders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Conlucrarea cu subdiviziunile teritoriale ale </w:t>
            </w:r>
            <w:r w:rsidR="003B6BD3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autoritarilor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competente in punctele de trecere a frontierei (Politia de Frontiera, Serviciu Vamal) in scopul </w:t>
            </w:r>
            <w:r w:rsidR="003B6BD3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inițierii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si realizării, la necesitate, a masurilor de control</w:t>
            </w:r>
            <w:r w:rsidRPr="003B6BD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sanitar</w:t>
            </w:r>
          </w:p>
        </w:tc>
        <w:tc>
          <w:tcPr>
            <w:tcW w:w="2551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Coordonator SSSP</w:t>
            </w:r>
          </w:p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medic epidemiolog</w:t>
            </w:r>
          </w:p>
        </w:tc>
      </w:tr>
      <w:tr w:rsidR="001C2636" w:rsidRPr="003B6BD3" w:rsidTr="0051756A">
        <w:trPr>
          <w:trHeight w:val="1319"/>
        </w:trPr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1C2636" w:rsidRPr="003B6BD3" w:rsidRDefault="001C2636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10.</w:t>
            </w:r>
          </w:p>
        </w:tc>
        <w:tc>
          <w:tcPr>
            <w:tcW w:w="6782" w:type="dxa"/>
            <w:tcBorders>
              <w:top w:val="single" w:sz="4" w:space="0" w:color="auto"/>
            </w:tcBorders>
          </w:tcPr>
          <w:p w:rsidR="001C2636" w:rsidRPr="003B6BD3" w:rsidRDefault="001C2636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Investigația</w:t>
            </w:r>
            <w:r w:rsidRPr="003B6BD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epidemiologica</w:t>
            </w:r>
            <w:r w:rsidRPr="003B6BD3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</w:t>
            </w:r>
            <w:r w:rsidRPr="003B6BD3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val="ro-MO"/>
              </w:rPr>
              <w:t xml:space="preserve"> </w:t>
            </w:r>
            <w:r w:rsidR="003B6BD3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fiecărui</w:t>
            </w:r>
            <w:r w:rsidRPr="003B6BD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caz</w:t>
            </w:r>
            <w:r w:rsidRPr="003B6BD3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probabil și</w:t>
            </w:r>
            <w:r w:rsidRPr="003B6BD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confirmat</w:t>
            </w:r>
            <w:r w:rsidRPr="003B6BD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</w:t>
            </w:r>
            <w:r w:rsidRPr="003B6BD3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val="ro-MO"/>
              </w:rPr>
              <w:t xml:space="preserve"> </w:t>
            </w:r>
            <w:r w:rsidR="003B6BD3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infecție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cu COVID-19 cu completarea „Fisei de anchetare epidemiologica a focarului de boala infecțioasa” (formularul 362/e) si „Formularul provizoriu OMS pentru raportarea</w:t>
            </w:r>
            <w:r w:rsidRPr="003B6BD3">
              <w:rPr>
                <w:rFonts w:ascii="Times New Roman" w:eastAsia="Calibri" w:hAnsi="Times New Roman" w:cs="Times New Roman"/>
                <w:spacing w:val="-32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cazurilor</w:t>
            </w:r>
            <w:r w:rsidRPr="003B6BD3">
              <w:rPr>
                <w:rFonts w:ascii="Times New Roman" w:eastAsia="Calibri" w:hAnsi="Times New Roman" w:cs="Times New Roman"/>
                <w:spacing w:val="-30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probabile</w:t>
            </w:r>
            <w:r w:rsidRPr="003B6BD3">
              <w:rPr>
                <w:rFonts w:ascii="Times New Roman" w:eastAsia="Calibri" w:hAnsi="Times New Roman" w:cs="Times New Roman"/>
                <w:spacing w:val="-31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si</w:t>
            </w:r>
            <w:r w:rsidRPr="003B6BD3">
              <w:rPr>
                <w:rFonts w:ascii="Times New Roman" w:eastAsia="Calibri" w:hAnsi="Times New Roman" w:cs="Times New Roman"/>
                <w:spacing w:val="-40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confirmate</w:t>
            </w:r>
            <w:r w:rsidRPr="003B6BD3">
              <w:rPr>
                <w:rFonts w:ascii="Times New Roman" w:eastAsia="Calibri" w:hAnsi="Times New Roman" w:cs="Times New Roman"/>
                <w:spacing w:val="-29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</w:t>
            </w:r>
            <w:r w:rsidRPr="003B6BD3">
              <w:rPr>
                <w:rFonts w:ascii="Times New Roman" w:eastAsia="Calibri" w:hAnsi="Times New Roman" w:cs="Times New Roman"/>
                <w:spacing w:val="-36"/>
                <w:sz w:val="24"/>
                <w:szCs w:val="24"/>
                <w:lang w:val="ro-MO"/>
              </w:rPr>
              <w:t xml:space="preserve"> </w:t>
            </w:r>
            <w:r w:rsidR="003B6BD3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infecție</w:t>
            </w:r>
            <w:r w:rsidRPr="003B6BD3">
              <w:rPr>
                <w:rFonts w:ascii="Times New Roman" w:eastAsia="Calibri" w:hAnsi="Times New Roman" w:cs="Times New Roman"/>
                <w:spacing w:val="-32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cu</w:t>
            </w:r>
            <w:r w:rsidRPr="003B6BD3">
              <w:rPr>
                <w:rFonts w:ascii="Times New Roman" w:eastAsia="Calibri" w:hAnsi="Times New Roman" w:cs="Times New Roman"/>
                <w:spacing w:val="-36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COVID-19”</w:t>
            </w:r>
          </w:p>
        </w:tc>
        <w:tc>
          <w:tcPr>
            <w:tcW w:w="2551" w:type="dxa"/>
          </w:tcPr>
          <w:p w:rsidR="001C2636" w:rsidRPr="003B6BD3" w:rsidRDefault="001C2636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medic epidemiolog</w:t>
            </w:r>
          </w:p>
          <w:p w:rsidR="001C2636" w:rsidRPr="003B6BD3" w:rsidRDefault="001C2636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a/m</w:t>
            </w:r>
          </w:p>
          <w:p w:rsidR="001C2636" w:rsidRPr="003B6BD3" w:rsidRDefault="001C2636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1C2636" w:rsidRPr="003B6BD3" w:rsidRDefault="001C2636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4B0590" w:rsidRPr="003B6BD3" w:rsidTr="0051756A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Copiile</w:t>
            </w:r>
            <w:r w:rsidRPr="003B6BD3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Fisei</w:t>
            </w:r>
            <w:r w:rsidRPr="003B6BD3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epidemiologice</w:t>
            </w:r>
            <w:r w:rsidRPr="003B6BD3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si</w:t>
            </w:r>
            <w:r w:rsidRPr="003B6BD3">
              <w:rPr>
                <w:rFonts w:ascii="Times New Roman" w:eastAsia="Calibri" w:hAnsi="Times New Roman" w:cs="Times New Roman"/>
                <w:spacing w:val="-24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Formularului</w:t>
            </w:r>
            <w:r w:rsidRPr="003B6BD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OMS</w:t>
            </w:r>
            <w:r w:rsidRPr="003B6BD3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se</w:t>
            </w:r>
            <w:r w:rsidRPr="003B6BD3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remit</w:t>
            </w:r>
            <w:r w:rsidRPr="003B6BD3">
              <w:rPr>
                <w:rFonts w:ascii="Times New Roman" w:eastAsia="Calibri" w:hAnsi="Times New Roman" w:cs="Times New Roman"/>
                <w:spacing w:val="-24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in</w:t>
            </w:r>
            <w:r w:rsidRPr="003B6BD3">
              <w:rPr>
                <w:rFonts w:ascii="Times New Roman" w:eastAsia="Calibri" w:hAnsi="Times New Roman" w:cs="Times New Roman"/>
                <w:spacing w:val="-26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adresa</w:t>
            </w:r>
            <w:r w:rsidRPr="003B6BD3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ANSP,</w:t>
            </w:r>
            <w:r w:rsidRPr="003B6BD3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o-MO"/>
              </w:rPr>
              <w:t xml:space="preserve"> </w:t>
            </w:r>
            <w:r w:rsidR="003B6BD3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secția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supravegherea</w:t>
            </w:r>
            <w:r w:rsidRPr="003B6BD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epidemiologica</w:t>
            </w:r>
            <w:r w:rsidRPr="003B6BD3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</w:t>
            </w:r>
            <w:r w:rsidRPr="003B6BD3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gripei</w:t>
            </w:r>
            <w:r w:rsidRPr="003B6BD3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si</w:t>
            </w:r>
            <w:r w:rsidRPr="003B6BD3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IRVA</w:t>
            </w:r>
          </w:p>
        </w:tc>
        <w:tc>
          <w:tcPr>
            <w:tcW w:w="2551" w:type="dxa"/>
          </w:tcPr>
          <w:p w:rsidR="0038215D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Medic epidemiolog </w:t>
            </w:r>
          </w:p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a/m 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12.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Depistarea cercului de contac</w:t>
            </w:r>
            <w:r w:rsidR="0038215D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ț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 a bolnavilor și suspecți  cu informarea AMP pentru supraveghere</w:t>
            </w:r>
          </w:p>
        </w:tc>
        <w:tc>
          <w:tcPr>
            <w:tcW w:w="2551" w:type="dxa"/>
          </w:tcPr>
          <w:p w:rsidR="004B0590" w:rsidRPr="003B6BD3" w:rsidRDefault="004561C0" w:rsidP="003B6BD3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</w:t>
            </w:r>
            <w:r w:rsidR="004B0590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ed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ic </w:t>
            </w:r>
            <w:r w:rsidR="004B0590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epidemiolo</w:t>
            </w:r>
            <w:r w:rsidR="0051756A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g</w:t>
            </w:r>
          </w:p>
          <w:p w:rsidR="004B0590" w:rsidRPr="003B6BD3" w:rsidRDefault="004561C0" w:rsidP="003B6BD3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</w:t>
            </w:r>
            <w:r w:rsidR="004B0590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dic de famili</w:t>
            </w:r>
            <w:r w:rsidR="0051756A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13.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Identificarea  și monitorizarea contacților</w:t>
            </w:r>
          </w:p>
        </w:tc>
        <w:tc>
          <w:tcPr>
            <w:tcW w:w="2551" w:type="dxa"/>
          </w:tcPr>
          <w:p w:rsidR="004561C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Coordonat SSSP </w:t>
            </w:r>
          </w:p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medic epidemiolog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14.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Prezentarea notelor informative ANSP, MSMPS, Consiliul raional</w:t>
            </w:r>
          </w:p>
        </w:tc>
        <w:tc>
          <w:tcPr>
            <w:tcW w:w="2551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Serviciul administrativ 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15.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R</w:t>
            </w:r>
            <w:r w:rsidR="004561C0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str</w:t>
            </w:r>
            <w:r w:rsidR="004561C0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cționarea accesului persoanelor  străine  în incinta Centrului</w:t>
            </w:r>
          </w:p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551" w:type="dxa"/>
          </w:tcPr>
          <w:p w:rsidR="004561C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Coordonat SSSP </w:t>
            </w:r>
          </w:p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medic epidemiolog</w:t>
            </w:r>
          </w:p>
        </w:tc>
      </w:tr>
      <w:tr w:rsidR="004B0590" w:rsidRPr="003B6BD3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16.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Colaborare și informarea re</w:t>
            </w:r>
            <w:r w:rsidR="004561C0"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</w:t>
            </w: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iprocă între CSP, AMP, SR, APL I-II, poliția de frontieră</w:t>
            </w:r>
          </w:p>
        </w:tc>
        <w:tc>
          <w:tcPr>
            <w:tcW w:w="2551" w:type="dxa"/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APL</w:t>
            </w:r>
          </w:p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CSP</w:t>
            </w:r>
          </w:p>
        </w:tc>
      </w:tr>
      <w:tr w:rsidR="004B0590" w:rsidRPr="003B6BD3" w:rsidTr="004561C0">
        <w:trPr>
          <w:trHeight w:val="625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17.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Instituirea  regimului de carantină în localități cu afectarea  a 1% din populația localității respective  în perioada de incubație -14 zile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Colaboratorii CSP</w:t>
            </w:r>
          </w:p>
        </w:tc>
      </w:tr>
      <w:tr w:rsidR="004B0590" w:rsidRPr="003B6BD3" w:rsidTr="004561C0">
        <w:trPr>
          <w:trHeight w:val="564"/>
        </w:trPr>
        <w:tc>
          <w:tcPr>
            <w:tcW w:w="556" w:type="dxa"/>
            <w:tcBorders>
              <w:top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18.</w:t>
            </w:r>
          </w:p>
        </w:tc>
        <w:tc>
          <w:tcPr>
            <w:tcW w:w="6782" w:type="dxa"/>
            <w:tcBorders>
              <w:top w:val="single" w:sz="4" w:space="0" w:color="auto"/>
            </w:tcBorders>
          </w:tcPr>
          <w:p w:rsidR="004B0590" w:rsidRPr="003B6BD3" w:rsidRDefault="004B059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Informarea populației despre măsurile de protecție împotriva infecției cu COVID-19 prin toate metodele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561C0" w:rsidRPr="003B6BD3" w:rsidRDefault="004561C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APL</w:t>
            </w:r>
          </w:p>
          <w:p w:rsidR="004B0590" w:rsidRPr="003B6BD3" w:rsidRDefault="004561C0" w:rsidP="003B6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CSP</w:t>
            </w:r>
          </w:p>
        </w:tc>
      </w:tr>
    </w:tbl>
    <w:p w:rsidR="00E35DAA" w:rsidRPr="003B6BD3" w:rsidRDefault="00E35DAA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94B67" w:rsidRPr="003B6BD3" w:rsidRDefault="00A94B67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94B67" w:rsidRPr="003B6BD3" w:rsidRDefault="00A94B67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94B67" w:rsidRPr="003B6BD3" w:rsidRDefault="00A94B67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94B67" w:rsidRPr="003B6BD3" w:rsidRDefault="00A94B67" w:rsidP="00C74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t>Notă informativă</w:t>
      </w:r>
    </w:p>
    <w:p w:rsidR="00A94B67" w:rsidRPr="003B6BD3" w:rsidRDefault="00A94B67" w:rsidP="003B6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Prin prezenta, Centrul de Sănătate Publică Căușeni Vă informează despre situația epidemiologică la infecția cu COVID-19 în raionul Ștefan Vodă. 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Situația epidemiologică la moment  este agravată prin faptul înregistrării cazurilor de clustere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3B6BD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grupuri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de cazuri în timp, locație geografică, expunere comună, dar se menține sub control.</w:t>
      </w:r>
    </w:p>
    <w:p w:rsidR="00A94B67" w:rsidRPr="003B6BD3" w:rsidRDefault="00A94B67" w:rsidP="003B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Este asigurat un control și supravegherea locală mai riguroasă în  satele Ermoclia, Antonești și or. Ștefan Vodă  cu scopul de prevenire a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răspândirii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infecției,care prezintă riscuri identificate în urma confirmării pozitive a unor persoane într-o  perioadă de timp. </w:t>
      </w:r>
    </w:p>
    <w:p w:rsidR="00A94B67" w:rsidRPr="003B6BD3" w:rsidRDefault="00A94B67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În perioada 19.03-05.06.2020 în raion au fost înregistrate 311 cazuri de infecție cu COVID-19 confirmate prin testare de laborator. </w:t>
      </w:r>
    </w:p>
    <w:p w:rsidR="00A94B67" w:rsidRPr="003B6BD3" w:rsidRDefault="00A94B67" w:rsidP="003B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Conform grupelor de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vârstă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, infecția a fost înregistrată la copii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la 17 ani – 18 cazuri (5,3%); ( din ei 2 copii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la un an (12,5%) ;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vârsta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1-2 ani – 4 cazuri (18,8%), 3-6 ani -5 cazuri (31,3%) și 7-17 cazuri – 6 cazuri (37,5%) și adulți 295 cazuri (94,7%)  în care s-au evidențiat următoarele grupe de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vârstă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: </w:t>
      </w:r>
    </w:p>
    <w:p w:rsidR="00A94B67" w:rsidRPr="003B6BD3" w:rsidRDefault="00A94B67" w:rsidP="003B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Style w:val="a8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94B67" w:rsidRPr="003B6BD3" w:rsidTr="003B6BD3"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18-19 ani</w:t>
            </w:r>
          </w:p>
        </w:tc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20-29 ani</w:t>
            </w:r>
          </w:p>
        </w:tc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30-39 ani</w:t>
            </w:r>
          </w:p>
        </w:tc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40-49 ani</w:t>
            </w:r>
          </w:p>
        </w:tc>
        <w:tc>
          <w:tcPr>
            <w:tcW w:w="1197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50-59 ani</w:t>
            </w:r>
          </w:p>
        </w:tc>
        <w:tc>
          <w:tcPr>
            <w:tcW w:w="1197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60-69 ani</w:t>
            </w:r>
          </w:p>
        </w:tc>
        <w:tc>
          <w:tcPr>
            <w:tcW w:w="1197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≥ 70 ani</w:t>
            </w:r>
          </w:p>
        </w:tc>
      </w:tr>
      <w:tr w:rsidR="00A94B67" w:rsidRPr="003B6BD3" w:rsidTr="003B6BD3"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Nr. bolnavi</w:t>
            </w:r>
          </w:p>
        </w:tc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</w:t>
            </w:r>
          </w:p>
        </w:tc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</w:t>
            </w:r>
          </w:p>
        </w:tc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</w:t>
            </w:r>
          </w:p>
        </w:tc>
        <w:tc>
          <w:tcPr>
            <w:tcW w:w="1197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105</w:t>
            </w:r>
          </w:p>
        </w:tc>
        <w:tc>
          <w:tcPr>
            <w:tcW w:w="1197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</w:t>
            </w:r>
          </w:p>
        </w:tc>
        <w:tc>
          <w:tcPr>
            <w:tcW w:w="1197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</w:t>
            </w:r>
          </w:p>
        </w:tc>
      </w:tr>
      <w:tr w:rsidR="00A94B67" w:rsidRPr="003B6BD3" w:rsidTr="003B6BD3"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% din </w:t>
            </w:r>
            <w:r w:rsidR="003B6BD3"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nr. adulți</w:t>
            </w:r>
          </w:p>
        </w:tc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2,1</w:t>
            </w:r>
          </w:p>
        </w:tc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8,7</w:t>
            </w:r>
          </w:p>
        </w:tc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8,1</w:t>
            </w:r>
          </w:p>
        </w:tc>
        <w:tc>
          <w:tcPr>
            <w:tcW w:w="1196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14,3</w:t>
            </w:r>
          </w:p>
        </w:tc>
        <w:tc>
          <w:tcPr>
            <w:tcW w:w="1197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36,6</w:t>
            </w:r>
          </w:p>
        </w:tc>
        <w:tc>
          <w:tcPr>
            <w:tcW w:w="1197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22,6</w:t>
            </w:r>
          </w:p>
        </w:tc>
        <w:tc>
          <w:tcPr>
            <w:tcW w:w="1197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6,6</w:t>
            </w:r>
          </w:p>
        </w:tc>
      </w:tr>
    </w:tbl>
    <w:p w:rsidR="00A94B67" w:rsidRPr="003B6BD3" w:rsidRDefault="00A94B67" w:rsidP="003B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Printre adulți cea mai afectată este vârsta  de 50-59 ani – 36,6% </w:t>
      </w:r>
    </w:p>
    <w:p w:rsidR="00A94B67" w:rsidRPr="003B6BD3" w:rsidRDefault="00A94B67" w:rsidP="003B6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Infecția cu COVID-19  a fost  extinsă în 22 din 26 teritorii administrative, inclusiv: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883"/>
        <w:gridCol w:w="992"/>
        <w:gridCol w:w="1110"/>
        <w:gridCol w:w="569"/>
        <w:gridCol w:w="2267"/>
        <w:gridCol w:w="1192"/>
        <w:gridCol w:w="1110"/>
      </w:tblGrid>
      <w:tr w:rsidR="00A94B67" w:rsidRPr="003B6BD3" w:rsidTr="003B6BD3"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Nr d/o</w:t>
            </w:r>
          </w:p>
        </w:tc>
        <w:tc>
          <w:tcPr>
            <w:tcW w:w="1666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LOCALITATEA</w:t>
            </w:r>
          </w:p>
        </w:tc>
        <w:tc>
          <w:tcPr>
            <w:tcW w:w="9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Nr. cazuri</w:t>
            </w:r>
          </w:p>
        </w:tc>
        <w:tc>
          <w:tcPr>
            <w:tcW w:w="961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100 mii </w:t>
            </w:r>
            <w:r w:rsidR="003B6BD3"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populație</w:t>
            </w:r>
          </w:p>
        </w:tc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Nr d/o</w:t>
            </w:r>
          </w:p>
        </w:tc>
        <w:tc>
          <w:tcPr>
            <w:tcW w:w="2267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LOCALITATEA</w:t>
            </w:r>
          </w:p>
        </w:tc>
        <w:tc>
          <w:tcPr>
            <w:tcW w:w="11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Nr. cazuri</w:t>
            </w:r>
          </w:p>
        </w:tc>
        <w:tc>
          <w:tcPr>
            <w:tcW w:w="1057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100 mii </w:t>
            </w:r>
            <w:r w:rsidR="003B6BD3"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populație</w:t>
            </w:r>
          </w:p>
        </w:tc>
      </w:tr>
      <w:tr w:rsidR="00A94B67" w:rsidRPr="003B6BD3" w:rsidTr="003B6BD3"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Stefan Vodă</w:t>
            </w:r>
          </w:p>
        </w:tc>
        <w:tc>
          <w:tcPr>
            <w:tcW w:w="9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</w:t>
            </w:r>
          </w:p>
        </w:tc>
        <w:tc>
          <w:tcPr>
            <w:tcW w:w="961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1699,8</w:t>
            </w:r>
          </w:p>
        </w:tc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</w:t>
            </w:r>
          </w:p>
        </w:tc>
        <w:tc>
          <w:tcPr>
            <w:tcW w:w="2267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Crocmaz</w:t>
            </w:r>
          </w:p>
        </w:tc>
        <w:tc>
          <w:tcPr>
            <w:tcW w:w="11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1057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150,2</w:t>
            </w:r>
          </w:p>
        </w:tc>
      </w:tr>
      <w:tr w:rsidR="00A94B67" w:rsidRPr="003B6BD3" w:rsidTr="003B6BD3"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Talmaza</w:t>
            </w:r>
          </w:p>
        </w:tc>
        <w:tc>
          <w:tcPr>
            <w:tcW w:w="9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</w:t>
            </w:r>
          </w:p>
        </w:tc>
        <w:tc>
          <w:tcPr>
            <w:tcW w:w="961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675,5</w:t>
            </w:r>
          </w:p>
        </w:tc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</w:t>
            </w:r>
          </w:p>
        </w:tc>
        <w:tc>
          <w:tcPr>
            <w:tcW w:w="2267" w:type="dxa"/>
            <w:shd w:val="clear" w:color="auto" w:fill="auto"/>
          </w:tcPr>
          <w:p w:rsidR="00A94B67" w:rsidRPr="003B6BD3" w:rsidRDefault="003B6BD3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Copceac</w:t>
            </w:r>
          </w:p>
        </w:tc>
        <w:tc>
          <w:tcPr>
            <w:tcW w:w="11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1057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172,1</w:t>
            </w:r>
          </w:p>
        </w:tc>
      </w:tr>
      <w:tr w:rsidR="00A94B67" w:rsidRPr="003B6BD3" w:rsidTr="003B6BD3"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Carahasani</w:t>
            </w:r>
          </w:p>
        </w:tc>
        <w:tc>
          <w:tcPr>
            <w:tcW w:w="9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</w:t>
            </w:r>
          </w:p>
        </w:tc>
        <w:tc>
          <w:tcPr>
            <w:tcW w:w="961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740,5</w:t>
            </w:r>
          </w:p>
        </w:tc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</w:t>
            </w:r>
          </w:p>
        </w:tc>
        <w:tc>
          <w:tcPr>
            <w:tcW w:w="2267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Tudora </w:t>
            </w:r>
          </w:p>
        </w:tc>
        <w:tc>
          <w:tcPr>
            <w:tcW w:w="11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1057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205,5</w:t>
            </w:r>
          </w:p>
        </w:tc>
      </w:tr>
      <w:tr w:rsidR="00A94B67" w:rsidRPr="003B6BD3" w:rsidTr="003B6BD3"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Ermoclia</w:t>
            </w:r>
          </w:p>
        </w:tc>
        <w:tc>
          <w:tcPr>
            <w:tcW w:w="9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</w:t>
            </w:r>
          </w:p>
        </w:tc>
        <w:tc>
          <w:tcPr>
            <w:tcW w:w="961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404,4</w:t>
            </w:r>
          </w:p>
        </w:tc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</w:t>
            </w:r>
          </w:p>
        </w:tc>
        <w:tc>
          <w:tcPr>
            <w:tcW w:w="2267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Cioburciu</w:t>
            </w:r>
          </w:p>
        </w:tc>
        <w:tc>
          <w:tcPr>
            <w:tcW w:w="11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1057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113,9</w:t>
            </w:r>
          </w:p>
        </w:tc>
      </w:tr>
      <w:tr w:rsidR="00A94B67" w:rsidRPr="003B6BD3" w:rsidTr="003B6BD3"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Antonești</w:t>
            </w:r>
          </w:p>
        </w:tc>
        <w:tc>
          <w:tcPr>
            <w:tcW w:w="9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</w:t>
            </w:r>
          </w:p>
        </w:tc>
        <w:tc>
          <w:tcPr>
            <w:tcW w:w="961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850,4</w:t>
            </w:r>
          </w:p>
        </w:tc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</w:t>
            </w:r>
          </w:p>
        </w:tc>
        <w:tc>
          <w:tcPr>
            <w:tcW w:w="2267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Semionovca</w:t>
            </w:r>
          </w:p>
        </w:tc>
        <w:tc>
          <w:tcPr>
            <w:tcW w:w="11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1057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427,9</w:t>
            </w:r>
          </w:p>
        </w:tc>
      </w:tr>
      <w:tr w:rsidR="00A94B67" w:rsidRPr="003B6BD3" w:rsidTr="003B6BD3"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Olănești</w:t>
            </w:r>
          </w:p>
        </w:tc>
        <w:tc>
          <w:tcPr>
            <w:tcW w:w="9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</w:t>
            </w:r>
          </w:p>
        </w:tc>
        <w:tc>
          <w:tcPr>
            <w:tcW w:w="961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223,6</w:t>
            </w:r>
          </w:p>
        </w:tc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</w:t>
            </w:r>
          </w:p>
        </w:tc>
        <w:tc>
          <w:tcPr>
            <w:tcW w:w="2267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Purcari</w:t>
            </w:r>
          </w:p>
        </w:tc>
        <w:tc>
          <w:tcPr>
            <w:tcW w:w="11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1057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146,2</w:t>
            </w:r>
          </w:p>
        </w:tc>
      </w:tr>
      <w:tr w:rsidR="00A94B67" w:rsidRPr="003B6BD3" w:rsidTr="003B6BD3"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Răscăeți</w:t>
            </w:r>
          </w:p>
        </w:tc>
        <w:tc>
          <w:tcPr>
            <w:tcW w:w="9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</w:p>
        </w:tc>
        <w:tc>
          <w:tcPr>
            <w:tcW w:w="961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292,5</w:t>
            </w:r>
          </w:p>
        </w:tc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</w:t>
            </w:r>
          </w:p>
        </w:tc>
        <w:tc>
          <w:tcPr>
            <w:tcW w:w="2267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Răscăeții Noi</w:t>
            </w:r>
          </w:p>
        </w:tc>
        <w:tc>
          <w:tcPr>
            <w:tcW w:w="11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057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385,4</w:t>
            </w:r>
          </w:p>
        </w:tc>
      </w:tr>
      <w:tr w:rsidR="00A94B67" w:rsidRPr="003B6BD3" w:rsidTr="003B6BD3"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</w:p>
        </w:tc>
        <w:tc>
          <w:tcPr>
            <w:tcW w:w="1666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Slobozia</w:t>
            </w:r>
          </w:p>
        </w:tc>
        <w:tc>
          <w:tcPr>
            <w:tcW w:w="9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961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197,2</w:t>
            </w:r>
          </w:p>
        </w:tc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</w:t>
            </w:r>
          </w:p>
        </w:tc>
        <w:tc>
          <w:tcPr>
            <w:tcW w:w="2267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Alava </w:t>
            </w:r>
          </w:p>
        </w:tc>
        <w:tc>
          <w:tcPr>
            <w:tcW w:w="11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057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295,8</w:t>
            </w:r>
          </w:p>
        </w:tc>
      </w:tr>
      <w:tr w:rsidR="00A94B67" w:rsidRPr="003B6BD3" w:rsidTr="003B6BD3"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</w:t>
            </w:r>
          </w:p>
        </w:tc>
        <w:tc>
          <w:tcPr>
            <w:tcW w:w="1666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Popeasca</w:t>
            </w:r>
          </w:p>
        </w:tc>
        <w:tc>
          <w:tcPr>
            <w:tcW w:w="9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961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280,8</w:t>
            </w:r>
          </w:p>
        </w:tc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</w:t>
            </w:r>
          </w:p>
        </w:tc>
        <w:tc>
          <w:tcPr>
            <w:tcW w:w="2267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Palanca</w:t>
            </w:r>
          </w:p>
        </w:tc>
        <w:tc>
          <w:tcPr>
            <w:tcW w:w="11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057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57,2</w:t>
            </w:r>
          </w:p>
        </w:tc>
      </w:tr>
      <w:tr w:rsidR="00A94B67" w:rsidRPr="003B6BD3" w:rsidTr="003B6BD3"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Ștefănești</w:t>
            </w:r>
          </w:p>
        </w:tc>
        <w:tc>
          <w:tcPr>
            <w:tcW w:w="9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961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636,4</w:t>
            </w:r>
          </w:p>
        </w:tc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</w:t>
            </w:r>
          </w:p>
        </w:tc>
        <w:tc>
          <w:tcPr>
            <w:tcW w:w="2267" w:type="dxa"/>
            <w:shd w:val="clear" w:color="auto" w:fill="auto"/>
          </w:tcPr>
          <w:p w:rsidR="00A94B67" w:rsidRPr="003B6BD3" w:rsidRDefault="003B6BD3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Căplani</w:t>
            </w:r>
          </w:p>
        </w:tc>
        <w:tc>
          <w:tcPr>
            <w:tcW w:w="11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057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30,1</w:t>
            </w:r>
          </w:p>
        </w:tc>
      </w:tr>
      <w:tr w:rsidR="00A94B67" w:rsidRPr="003B6BD3" w:rsidTr="003B6BD3"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</w:t>
            </w:r>
          </w:p>
        </w:tc>
        <w:tc>
          <w:tcPr>
            <w:tcW w:w="1666" w:type="dxa"/>
            <w:shd w:val="clear" w:color="auto" w:fill="auto"/>
          </w:tcPr>
          <w:p w:rsidR="00A94B67" w:rsidRPr="003B6BD3" w:rsidRDefault="003B6BD3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Volintiri</w:t>
            </w:r>
          </w:p>
        </w:tc>
        <w:tc>
          <w:tcPr>
            <w:tcW w:w="9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961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137,6</w:t>
            </w:r>
          </w:p>
        </w:tc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267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7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A94B67" w:rsidRPr="003B6BD3" w:rsidTr="003B6BD3"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Marianca de Jos</w:t>
            </w:r>
          </w:p>
        </w:tc>
        <w:tc>
          <w:tcPr>
            <w:tcW w:w="9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961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941,6</w:t>
            </w:r>
          </w:p>
        </w:tc>
        <w:tc>
          <w:tcPr>
            <w:tcW w:w="569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267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92" w:type="dxa"/>
            <w:shd w:val="clear" w:color="auto" w:fill="auto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57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A94B67" w:rsidRPr="003B6BD3" w:rsidRDefault="00A94B67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În topul localităților cu cele mai multe cazuri confirmate  sunt  6 localități: Ștefan Vodă, Talmaza, Carahasani, Ermoclia, Antonești, Olănești. În primele 3 localități prin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Hotărârea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Comisiei Excepționale raionale  a fost instituită carantina  și scoasă din ultima localitate la data de 16.05.2020. 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Studiind morbiditatea  la 100 mii locuitori  tabloul se schimbă evidențiindu-se alte localități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având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o populație mai mică:  or. Ștefan Vodă, Marianca de Jos, Antonești, Carahasani, Ștefănești, Semionovca.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Din numărul  total de bolnavi (311) cu infecția COVID-19 pozitivi au decedat 11 persoane (3,5%)  din  9 localități: Răscăeți, Crocmaz, Semionovca, Slobozia, Volintiri , Olănești, Tudora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câte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un caz; Ștefănești și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Copceac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câte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2 cazuri.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Studiind morbiditatea lunară a cazurilor de infecție COVID-19 am constatat, că cele mai multe cazuri au fost înregistrate în luna aprilie – 70,6% din cazuri: 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1864"/>
        <w:gridCol w:w="954"/>
        <w:gridCol w:w="1723"/>
        <w:gridCol w:w="958"/>
        <w:gridCol w:w="1479"/>
        <w:gridCol w:w="1133"/>
        <w:gridCol w:w="1068"/>
      </w:tblGrid>
      <w:tr w:rsidR="00A94B67" w:rsidRPr="003B6BD3" w:rsidTr="003B6BD3">
        <w:tc>
          <w:tcPr>
            <w:tcW w:w="1864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Lina martie/caz</w:t>
            </w:r>
          </w:p>
        </w:tc>
        <w:tc>
          <w:tcPr>
            <w:tcW w:w="954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%</w:t>
            </w:r>
          </w:p>
        </w:tc>
        <w:tc>
          <w:tcPr>
            <w:tcW w:w="1723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Luna aprilie/caz</w:t>
            </w:r>
          </w:p>
        </w:tc>
        <w:tc>
          <w:tcPr>
            <w:tcW w:w="958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%</w:t>
            </w:r>
          </w:p>
        </w:tc>
        <w:tc>
          <w:tcPr>
            <w:tcW w:w="1479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Luna mai/caz</w:t>
            </w:r>
          </w:p>
        </w:tc>
        <w:tc>
          <w:tcPr>
            <w:tcW w:w="1133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%</w:t>
            </w:r>
          </w:p>
        </w:tc>
        <w:tc>
          <w:tcPr>
            <w:tcW w:w="1068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iunie</w:t>
            </w:r>
          </w:p>
        </w:tc>
      </w:tr>
      <w:tr w:rsidR="00A94B67" w:rsidRPr="003B6BD3" w:rsidTr="003B6BD3">
        <w:tc>
          <w:tcPr>
            <w:tcW w:w="1864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</w:t>
            </w:r>
          </w:p>
        </w:tc>
        <w:tc>
          <w:tcPr>
            <w:tcW w:w="954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13,2</w:t>
            </w:r>
          </w:p>
        </w:tc>
        <w:tc>
          <w:tcPr>
            <w:tcW w:w="1723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</w:t>
            </w:r>
          </w:p>
        </w:tc>
        <w:tc>
          <w:tcPr>
            <w:tcW w:w="958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70,6</w:t>
            </w:r>
          </w:p>
        </w:tc>
        <w:tc>
          <w:tcPr>
            <w:tcW w:w="1479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</w:t>
            </w:r>
          </w:p>
        </w:tc>
        <w:tc>
          <w:tcPr>
            <w:tcW w:w="1133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17,4</w:t>
            </w:r>
          </w:p>
        </w:tc>
        <w:tc>
          <w:tcPr>
            <w:tcW w:w="1068" w:type="dxa"/>
          </w:tcPr>
          <w:p w:rsidR="00A94B67" w:rsidRPr="003B6BD3" w:rsidRDefault="00A94B67" w:rsidP="003B6B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7/2,3%</w:t>
            </w:r>
          </w:p>
        </w:tc>
      </w:tr>
    </w:tbl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Nu s-au înregistrat cazuri în localitățile Viișoara, Feștelița, Brezoaia și Lazo.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La ziua de 05.06.2020  se află la evidență persoane cu statut de contacți 70, cu statut de suspecți 2 persoane, în autoizolare la domiciliu se află 258 persoane, 235 persoane s-au tratat. </w:t>
      </w:r>
    </w:p>
    <w:p w:rsidR="00A94B67" w:rsidRPr="003B6BD3" w:rsidRDefault="00A94B67" w:rsidP="003B6B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Cu regret este mare numărul lucrătorilor medicali infectați cu COVID-19.  Printre cei 311 bolnavi, confirmați cu infecția COVID-19 în raion, 125 (40,2%) sunt angajații și personalul medical a instituțiilor medico-sanitare din teritoriu, care în marea măsură au făcut boală în urma efectuării obligațiunilor de serviciu. </w:t>
      </w:r>
    </w:p>
    <w:p w:rsidR="00A94B67" w:rsidRPr="003B6BD3" w:rsidRDefault="00A94B67" w:rsidP="003B6BD3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t>DATE DESPRE LUCRĂTORII MEDICALI CONFIRMATI CU COVID-19 LA     05.06.2020</w:t>
      </w:r>
    </w:p>
    <w:p w:rsidR="00A94B67" w:rsidRPr="003B6BD3" w:rsidRDefault="00A94B67" w:rsidP="003B6BD3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09"/>
        <w:gridCol w:w="709"/>
        <w:gridCol w:w="850"/>
        <w:gridCol w:w="850"/>
        <w:gridCol w:w="851"/>
        <w:gridCol w:w="709"/>
        <w:gridCol w:w="850"/>
        <w:gridCol w:w="992"/>
        <w:gridCol w:w="993"/>
        <w:gridCol w:w="708"/>
      </w:tblGrid>
      <w:tr w:rsidR="00A94B67" w:rsidRPr="003B6BD3" w:rsidTr="003B6BD3">
        <w:tc>
          <w:tcPr>
            <w:tcW w:w="1526" w:type="dxa"/>
            <w:tcBorders>
              <w:top w:val="single" w:sz="4" w:space="0" w:color="auto"/>
            </w:tcBorders>
          </w:tcPr>
          <w:p w:rsidR="00A94B67" w:rsidRPr="003B6BD3" w:rsidRDefault="003B6BD3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Denumirea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secției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</w:t>
            </w:r>
          </w:p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dici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a/m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bufetar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Felcer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Infer</w:t>
            </w:r>
          </w:p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mier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șoferi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Statiști/registr</w:t>
            </w:r>
          </w:p>
        </w:tc>
        <w:tc>
          <w:tcPr>
            <w:tcW w:w="992" w:type="dxa"/>
            <w:tcBorders>
              <w:top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</w:t>
            </w:r>
          </w:p>
        </w:tc>
        <w:tc>
          <w:tcPr>
            <w:tcW w:w="993" w:type="dxa"/>
            <w:tcBorders>
              <w:top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708" w:type="dxa"/>
            <w:tcBorders>
              <w:top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Total </w:t>
            </w:r>
          </w:p>
        </w:tc>
      </w:tr>
      <w:tr w:rsidR="00A94B67" w:rsidRPr="003B6BD3" w:rsidTr="003B6BD3">
        <w:tc>
          <w:tcPr>
            <w:tcW w:w="1526" w:type="dxa"/>
          </w:tcPr>
          <w:p w:rsidR="00A94B67" w:rsidRPr="003B6BD3" w:rsidRDefault="003B6BD3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terapie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gener</w:t>
            </w:r>
            <w:r w:rsidR="00A94B67"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</w:t>
            </w:r>
          </w:p>
        </w:tc>
        <w:tc>
          <w:tcPr>
            <w:tcW w:w="708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14</w:t>
            </w:r>
          </w:p>
        </w:tc>
      </w:tr>
      <w:tr w:rsidR="00A94B67" w:rsidRPr="003B6BD3" w:rsidTr="003B6BD3">
        <w:tc>
          <w:tcPr>
            <w:tcW w:w="1526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Chirurgie</w:t>
            </w:r>
          </w:p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+traumat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18</w:t>
            </w:r>
          </w:p>
        </w:tc>
      </w:tr>
      <w:tr w:rsidR="00A94B67" w:rsidRPr="003B6BD3" w:rsidTr="003B6BD3">
        <w:tc>
          <w:tcPr>
            <w:tcW w:w="1526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reanimare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</w:t>
            </w:r>
          </w:p>
        </w:tc>
      </w:tr>
      <w:tr w:rsidR="00A94B67" w:rsidRPr="003B6BD3" w:rsidTr="003B6BD3">
        <w:tc>
          <w:tcPr>
            <w:tcW w:w="1526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internare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</w:t>
            </w:r>
          </w:p>
        </w:tc>
        <w:tc>
          <w:tcPr>
            <w:tcW w:w="708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11</w:t>
            </w:r>
          </w:p>
        </w:tc>
      </w:tr>
      <w:tr w:rsidR="00A94B67" w:rsidRPr="003B6BD3" w:rsidTr="003B6BD3">
        <w:tc>
          <w:tcPr>
            <w:tcW w:w="1526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consultat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</w:t>
            </w:r>
          </w:p>
        </w:tc>
        <w:tc>
          <w:tcPr>
            <w:tcW w:w="850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</w:t>
            </w:r>
          </w:p>
        </w:tc>
        <w:tc>
          <w:tcPr>
            <w:tcW w:w="992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</w:t>
            </w:r>
          </w:p>
        </w:tc>
        <w:tc>
          <w:tcPr>
            <w:tcW w:w="708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19</w:t>
            </w:r>
          </w:p>
        </w:tc>
      </w:tr>
      <w:tr w:rsidR="00A94B67" w:rsidRPr="003B6BD3" w:rsidTr="003B6BD3">
        <w:tc>
          <w:tcPr>
            <w:tcW w:w="1526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copii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</w:t>
            </w:r>
          </w:p>
        </w:tc>
      </w:tr>
      <w:tr w:rsidR="00A94B67" w:rsidRPr="003B6BD3" w:rsidTr="003B6BD3">
        <w:tc>
          <w:tcPr>
            <w:tcW w:w="1526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S.boli. inf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</w:t>
            </w:r>
          </w:p>
        </w:tc>
      </w:tr>
      <w:tr w:rsidR="00A94B67" w:rsidRPr="003B6BD3" w:rsidTr="003B6BD3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 xml:space="preserve">Total  SR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31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73</w:t>
            </w:r>
          </w:p>
        </w:tc>
      </w:tr>
      <w:tr w:rsidR="00A94B67" w:rsidRPr="003B6BD3" w:rsidTr="003B6BD3">
        <w:tc>
          <w:tcPr>
            <w:tcW w:w="1526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SAMU SV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26       </w:t>
            </w:r>
          </w:p>
        </w:tc>
      </w:tr>
      <w:tr w:rsidR="00A94B67" w:rsidRPr="003B6BD3" w:rsidTr="003B6BD3">
        <w:tc>
          <w:tcPr>
            <w:tcW w:w="1526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AMU Talmaz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851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709" w:type="dxa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</w:tr>
      <w:tr w:rsidR="00A94B67" w:rsidRPr="003B6BD3" w:rsidTr="003B6BD3">
        <w:tc>
          <w:tcPr>
            <w:tcW w:w="1526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AMU Olănești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A94B67" w:rsidRPr="003B6BD3" w:rsidTr="003B6BD3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Total SAMU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32</w:t>
            </w:r>
          </w:p>
        </w:tc>
      </w:tr>
      <w:tr w:rsidR="00A94B67" w:rsidRPr="003B6BD3" w:rsidTr="003B6BD3">
        <w:tc>
          <w:tcPr>
            <w:tcW w:w="1526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IMSP CS SV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clinico-epid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(1-clinico-epid)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</w:tr>
      <w:tr w:rsidR="00A94B67" w:rsidRPr="003B6BD3" w:rsidTr="003B6BD3"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OMF Carahasani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</w:tr>
      <w:tr w:rsidR="00A94B67" w:rsidRPr="003B6BD3" w:rsidTr="003B6BD3"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CS Antonești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A94B67" w:rsidRPr="003B6BD3" w:rsidTr="003B6BD3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Total MP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16</w:t>
            </w:r>
          </w:p>
        </w:tc>
      </w:tr>
      <w:tr w:rsidR="00A94B67" w:rsidRPr="003B6BD3" w:rsidTr="003B6BD3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Farmacie / privat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</w:t>
            </w:r>
          </w:p>
        </w:tc>
      </w:tr>
      <w:tr w:rsidR="00A94B67" w:rsidRPr="003B6BD3" w:rsidTr="003B6BD3">
        <w:tc>
          <w:tcPr>
            <w:tcW w:w="1526" w:type="dxa"/>
            <w:tcBorders>
              <w:top w:val="single" w:sz="12" w:space="0" w:color="auto"/>
              <w:bottom w:val="single" w:sz="18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IMSP (Căușeni)/Ermoclia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8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</w:t>
            </w:r>
          </w:p>
        </w:tc>
      </w:tr>
      <w:tr w:rsidR="00A94B67" w:rsidRPr="003B6BD3" w:rsidTr="003B6BD3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Total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21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27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94B67" w:rsidRPr="003B6BD3" w:rsidRDefault="00A94B67" w:rsidP="003B6BD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11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94B67" w:rsidRPr="003B6BD3" w:rsidRDefault="00A94B67" w:rsidP="003B6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</w:pPr>
            <w:r w:rsidRPr="003B6B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MO"/>
              </w:rPr>
              <w:t>125</w:t>
            </w:r>
          </w:p>
        </w:tc>
      </w:tr>
    </w:tbl>
    <w:p w:rsidR="00A94B67" w:rsidRPr="003B6BD3" w:rsidRDefault="00A94B67" w:rsidP="003B6BD3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94B67" w:rsidRPr="003B6BD3" w:rsidRDefault="00A94B67" w:rsidP="003B6B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Pe parcursul lunii mai au mai fost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infectați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4 lucrători medicali 07.05.20 – 1, 08.05.20 – 2 și 13.05.20 – 1 persoane (Antonești – 2, Talmaza, Ermoclia – câte 1 caz.</w:t>
      </w:r>
    </w:p>
    <w:p w:rsidR="00A94B67" w:rsidRPr="003B6BD3" w:rsidRDefault="00A94B67" w:rsidP="003B6B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O cauză majoră care a dus  la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răspândirea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infecției COVID-19 în cel mai mare focar din teritoriu a fost  neconștientizarea  și neluarea în serios  de către  personalul medical a problemelor ce aveau să se desfășoare, dar nu în ultimul moment și asigurarea insuficientă cu echipamente de protecție – la momentul respectiv.</w:t>
      </w:r>
    </w:p>
    <w:p w:rsidR="00A94B67" w:rsidRPr="003B6BD3" w:rsidRDefault="00A94B67" w:rsidP="003B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În urma analizei situației epidemiologice privind proveniența focarelor de infecție din raionul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="003B6BD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Vodă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, către mijlocul lunii martie anul curent, s-a constatat existența a </w:t>
      </w: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t xml:space="preserve">3 focare de COVID-19 (SARS-CoV-2), 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>în diferite puncte din teritoriu.</w:t>
      </w:r>
    </w:p>
    <w:p w:rsidR="00A94B67" w:rsidRPr="003B6BD3" w:rsidRDefault="003B6BD3" w:rsidP="003B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Astfel, primul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>focar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>fiind de import, de la persoanele revenite din excursia la  Mănăstirea Lavra Poceaev, R. Ucraina, organizată în perioada de 09 - 14.03.2020, al doilea constatat către sfârșitul lunii martie, în cadrul instituției medicale Oficiul Medicilor de Familie din satul Carahasani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>și al treilea focar, fiind identificat în aceiași perioadă în cadrul Instituției Medico Sanitare Publice Spitalul Raional Ștefan Vodă</w:t>
      </w:r>
      <w:r w:rsidRPr="003B6BD3">
        <w:rPr>
          <w:rFonts w:ascii="Times New Roman" w:hAnsi="Times New Roman" w:cs="Times New Roman"/>
          <w:i/>
          <w:sz w:val="24"/>
          <w:szCs w:val="24"/>
          <w:lang w:val="ro-MO"/>
        </w:rPr>
        <w:t xml:space="preserve"> (secțiile terapie, chirurgie și consultativă)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>, concomitent și la Substația Asistență Medicală de Urgență 112 Ștefan Vodă, în special în rândurile personalului medical, care s-a extins în rândurile populației generale, formând focare mici la domiciliu.</w:t>
      </w:r>
    </w:p>
    <w:p w:rsidR="00A94B67" w:rsidRPr="003B6BD3" w:rsidRDefault="00A94B67" w:rsidP="003B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Ca urmare extinderii infecției în cadrul serviciilor medicale menționate, s-a constatat transmiterea infecției în timpul exercitării obligațiunilor de serviciu la acordarea asistenței medicale bolnavilor aflați la tratament în IMSP Spitalului Raional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Ștefan Vodă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, totodată, prin faptul chemărilor bolnavilor la domiciliu a Serviciului Medical de Urgență 112 </w:t>
      </w:r>
      <w:r w:rsidRPr="003B6BD3">
        <w:rPr>
          <w:rFonts w:ascii="Times New Roman" w:hAnsi="Times New Roman" w:cs="Times New Roman"/>
          <w:i/>
          <w:sz w:val="24"/>
          <w:szCs w:val="24"/>
          <w:lang w:val="ro-MO"/>
        </w:rPr>
        <w:t xml:space="preserve">(SAMU </w:t>
      </w:r>
      <w:r w:rsidR="003B6BD3" w:rsidRPr="003B6BD3">
        <w:rPr>
          <w:rFonts w:ascii="Times New Roman" w:hAnsi="Times New Roman" w:cs="Times New Roman"/>
          <w:i/>
          <w:sz w:val="24"/>
          <w:szCs w:val="24"/>
          <w:lang w:val="ro-MO"/>
        </w:rPr>
        <w:t>Ștefan Vodă</w:t>
      </w:r>
      <w:r w:rsidRPr="003B6BD3">
        <w:rPr>
          <w:rFonts w:ascii="Times New Roman" w:hAnsi="Times New Roman" w:cs="Times New Roman"/>
          <w:i/>
          <w:sz w:val="24"/>
          <w:szCs w:val="24"/>
          <w:lang w:val="ro-MO"/>
        </w:rPr>
        <w:t>),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printre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aceștia fiind și suspecți la Coronavirus reveniți din pelerinajul Poceaevo. Situația similar fiind și la angajații PAMU 112 Talmaza, cu ulterioara transmiterea infecției către populație în localități. </w:t>
      </w:r>
    </w:p>
    <w:p w:rsidR="00A94B67" w:rsidRPr="003B6BD3" w:rsidRDefault="003B6BD3" w:rsidP="003B6B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Luând</w:t>
      </w:r>
      <w:r w:rsidR="00A94B67"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în considerație, că 2 lucrători 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>medicali</w:t>
      </w:r>
      <w:r w:rsidR="00A94B67"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, inclusiv 1 (caz confirmat – 29.03.20) și altul (caz suspect) au activat 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="00A94B67"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la îmbolnăvire în secțiile de chirurgie și terapie, prin coordonarea prealabilă cu directorul IMSP SR Ștefan-Vodă dl Anatoli Balanețchi,  s-a propus  pentru examinare în cadrul ședinței urgente a Comisiei pentru situații Excepționale al r-ului Ștefan-Vodă următoarele întrebări pentru soluționare:</w:t>
      </w:r>
    </w:p>
    <w:p w:rsidR="00A94B67" w:rsidRPr="003B6BD3" w:rsidRDefault="00A94B67" w:rsidP="003B6B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Trimiterea în carantină pentru 14 zile la domiciliu a  angajaților din secțiile date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foști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în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contact</w:t>
      </w:r>
      <w:r w:rsidR="003B6BD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cu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bolnavii de COVID-19</w:t>
      </w:r>
    </w:p>
    <w:p w:rsidR="00A94B67" w:rsidRPr="003B6BD3" w:rsidRDefault="00A94B67" w:rsidP="003B6B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Prelucrarea și efectuarea dezinfecții totale a secțiilor</w:t>
      </w:r>
    </w:p>
    <w:p w:rsidR="00A94B67" w:rsidRPr="003B6BD3" w:rsidRDefault="00A94B67" w:rsidP="003B6B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Înlocuirea ulterioară a cadrelor medicale existente cu alți lucrători medicali întru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asigurarea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continuității lucrului efectuat</w:t>
      </w:r>
    </w:p>
    <w:p w:rsidR="00A94B67" w:rsidRPr="003B6BD3" w:rsidRDefault="00A94B67" w:rsidP="003B6B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Întocmirea în mod de urgență a listei pacienților externați  din  IMSP SR Ștefan-Vodă, cu informarea IMSP CS din teritoriu pentru  plasarea lor în carantină la domiciliu pe parcursul a 14 zile (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la data de 11.04.2020), inclusiv  cu monitorizarea stării de sănătate  de către medicii de familie.</w:t>
      </w:r>
    </w:p>
    <w:p w:rsidR="00A94B67" w:rsidRPr="003B6BD3" w:rsidRDefault="00A94B67" w:rsidP="003B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Însă lucrurile au derulat într-un mod necontrolabil și  în temeiul Dispoziției CSE a RM nr.14 din 06.04.2020, a fost sistată activitatea IMSP Spitalul Raional Ștefan Vodă, pentru perioada de 07.04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la 20.04.2020, cu ulterioara prelungire a termenului de sistare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la 04 mai 2020. </w:t>
      </w:r>
    </w:p>
    <w:p w:rsidR="00A94B67" w:rsidRPr="003B6BD3" w:rsidRDefault="003B6BD3" w:rsidP="003B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La 05.05.2020 IMSP SR a reluat activitatea  cu personalul testat negativ (sănătoși)  ca urmare a reevaluării instituției de către  colaboratorii CSP Căușeni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>- 04.05.2020 și administrației care a constatat că în linii generale instituția este pregătită pentru preluarea activității și pot funcționa secțiile NON COVID – 19 și anume: terapie generală, chirurgie, obstetrică-ginecologie, terapie intensivă și anestezie, asistența medicală specializată de ambulator (s. consultativă).</w:t>
      </w:r>
    </w:p>
    <w:p w:rsidR="00A94B67" w:rsidRPr="003B6BD3" w:rsidRDefault="003B6BD3" w:rsidP="003B6BD3">
      <w:pPr>
        <w:pStyle w:val="a9"/>
        <w:ind w:right="372" w:firstLine="352"/>
        <w:jc w:val="both"/>
        <w:rPr>
          <w:b/>
          <w:sz w:val="24"/>
          <w:szCs w:val="24"/>
          <w:lang w:val="ro-MO"/>
        </w:rPr>
      </w:pPr>
      <w:r w:rsidRPr="003B6BD3">
        <w:rPr>
          <w:sz w:val="24"/>
          <w:szCs w:val="24"/>
          <w:lang w:val="ro-MO"/>
        </w:rPr>
        <w:t xml:space="preserve">A fost selectat contingentul de lucrători medicali pentru activitate cu testarea prealabilă a tuturor angajaților care s-au reîntors la serviciu; au </w:t>
      </w:r>
      <w:r w:rsidRPr="003B6BD3">
        <w:rPr>
          <w:spacing w:val="-3"/>
          <w:sz w:val="24"/>
          <w:szCs w:val="24"/>
          <w:lang w:val="ro-MO"/>
        </w:rPr>
        <w:t>f</w:t>
      </w:r>
      <w:r w:rsidRPr="003B6BD3">
        <w:rPr>
          <w:sz w:val="24"/>
          <w:szCs w:val="24"/>
          <w:lang w:val="ro-MO"/>
        </w:rPr>
        <w:t>o</w:t>
      </w:r>
      <w:r w:rsidRPr="003B6BD3">
        <w:rPr>
          <w:spacing w:val="-2"/>
          <w:sz w:val="24"/>
          <w:szCs w:val="24"/>
          <w:lang w:val="ro-MO"/>
        </w:rPr>
        <w:t>s</w:t>
      </w:r>
      <w:r w:rsidRPr="003B6BD3">
        <w:rPr>
          <w:sz w:val="24"/>
          <w:szCs w:val="24"/>
          <w:lang w:val="ro-MO"/>
        </w:rPr>
        <w:t xml:space="preserve">t </w:t>
      </w:r>
      <w:r w:rsidRPr="003B6BD3">
        <w:rPr>
          <w:spacing w:val="-2"/>
          <w:sz w:val="24"/>
          <w:szCs w:val="24"/>
          <w:lang w:val="ro-MO"/>
        </w:rPr>
        <w:t>in</w:t>
      </w:r>
      <w:r w:rsidRPr="003B6BD3">
        <w:rPr>
          <w:sz w:val="24"/>
          <w:szCs w:val="24"/>
          <w:lang w:val="ro-MO"/>
        </w:rPr>
        <w:t>iți</w:t>
      </w:r>
      <w:r w:rsidRPr="003B6BD3">
        <w:rPr>
          <w:spacing w:val="-3"/>
          <w:sz w:val="24"/>
          <w:szCs w:val="24"/>
          <w:lang w:val="ro-MO"/>
        </w:rPr>
        <w:t>a</w:t>
      </w:r>
      <w:r w:rsidRPr="003B6BD3">
        <w:rPr>
          <w:sz w:val="24"/>
          <w:szCs w:val="24"/>
          <w:lang w:val="ro-MO"/>
        </w:rPr>
        <w:t xml:space="preserve">te și </w:t>
      </w:r>
      <w:r w:rsidRPr="003B6BD3">
        <w:rPr>
          <w:spacing w:val="-2"/>
          <w:sz w:val="24"/>
          <w:szCs w:val="24"/>
          <w:lang w:val="ro-MO"/>
        </w:rPr>
        <w:t>s</w:t>
      </w:r>
      <w:r w:rsidRPr="003B6BD3">
        <w:rPr>
          <w:sz w:val="24"/>
          <w:szCs w:val="24"/>
          <w:lang w:val="ro-MO"/>
        </w:rPr>
        <w:t>e pe</w:t>
      </w:r>
      <w:r w:rsidRPr="003B6BD3">
        <w:rPr>
          <w:spacing w:val="-2"/>
          <w:sz w:val="24"/>
          <w:szCs w:val="24"/>
          <w:lang w:val="ro-MO"/>
        </w:rPr>
        <w:t>t</w:t>
      </w:r>
      <w:r w:rsidRPr="003B6BD3">
        <w:rPr>
          <w:sz w:val="24"/>
          <w:szCs w:val="24"/>
          <w:lang w:val="ro-MO"/>
        </w:rPr>
        <w:t xml:space="preserve">rec regulat (zilnic) </w:t>
      </w:r>
      <w:r w:rsidRPr="003B6BD3">
        <w:rPr>
          <w:spacing w:val="-2"/>
          <w:sz w:val="24"/>
          <w:szCs w:val="24"/>
          <w:lang w:val="ro-MO"/>
        </w:rPr>
        <w:t>in</w:t>
      </w:r>
      <w:r w:rsidRPr="003B6BD3">
        <w:rPr>
          <w:sz w:val="24"/>
          <w:szCs w:val="24"/>
          <w:lang w:val="ro-MO"/>
        </w:rPr>
        <w:t>st</w:t>
      </w:r>
      <w:r w:rsidRPr="003B6BD3">
        <w:rPr>
          <w:spacing w:val="-3"/>
          <w:sz w:val="24"/>
          <w:szCs w:val="24"/>
          <w:lang w:val="ro-MO"/>
        </w:rPr>
        <w:t>r</w:t>
      </w:r>
      <w:r w:rsidRPr="003B6BD3">
        <w:rPr>
          <w:spacing w:val="-2"/>
          <w:sz w:val="24"/>
          <w:szCs w:val="24"/>
          <w:lang w:val="ro-MO"/>
        </w:rPr>
        <w:t>u</w:t>
      </w:r>
      <w:r w:rsidRPr="003B6BD3">
        <w:rPr>
          <w:sz w:val="24"/>
          <w:szCs w:val="24"/>
          <w:lang w:val="ro-MO"/>
        </w:rPr>
        <w:t>ir</w:t>
      </w:r>
      <w:r w:rsidRPr="003B6BD3">
        <w:rPr>
          <w:spacing w:val="-2"/>
          <w:sz w:val="24"/>
          <w:szCs w:val="24"/>
          <w:lang w:val="ro-MO"/>
        </w:rPr>
        <w:t>i</w:t>
      </w:r>
      <w:r w:rsidRPr="003B6BD3">
        <w:rPr>
          <w:sz w:val="24"/>
          <w:szCs w:val="24"/>
          <w:lang w:val="ro-MO"/>
        </w:rPr>
        <w:t>le r</w:t>
      </w:r>
      <w:r w:rsidRPr="003B6BD3">
        <w:rPr>
          <w:spacing w:val="-3"/>
          <w:sz w:val="24"/>
          <w:szCs w:val="24"/>
          <w:lang w:val="ro-MO"/>
        </w:rPr>
        <w:t>e</w:t>
      </w:r>
      <w:r w:rsidRPr="003B6BD3">
        <w:rPr>
          <w:sz w:val="24"/>
          <w:szCs w:val="24"/>
          <w:lang w:val="ro-MO"/>
        </w:rPr>
        <w:t>p</w:t>
      </w:r>
      <w:r w:rsidRPr="003B6BD3">
        <w:rPr>
          <w:spacing w:val="-3"/>
          <w:sz w:val="24"/>
          <w:szCs w:val="24"/>
          <w:lang w:val="ro-MO"/>
        </w:rPr>
        <w:t>e</w:t>
      </w:r>
      <w:r w:rsidRPr="003B6BD3">
        <w:rPr>
          <w:sz w:val="24"/>
          <w:szCs w:val="24"/>
          <w:lang w:val="ro-MO"/>
        </w:rPr>
        <w:t>ta</w:t>
      </w:r>
      <w:r w:rsidRPr="003B6BD3">
        <w:rPr>
          <w:spacing w:val="-2"/>
          <w:sz w:val="24"/>
          <w:szCs w:val="24"/>
          <w:lang w:val="ro-MO"/>
        </w:rPr>
        <w:t>t</w:t>
      </w:r>
      <w:r w:rsidRPr="003B6BD3">
        <w:rPr>
          <w:sz w:val="24"/>
          <w:szCs w:val="24"/>
          <w:lang w:val="ro-MO"/>
        </w:rPr>
        <w:t>e a pe</w:t>
      </w:r>
      <w:r w:rsidRPr="003B6BD3">
        <w:rPr>
          <w:spacing w:val="-3"/>
          <w:sz w:val="24"/>
          <w:szCs w:val="24"/>
          <w:lang w:val="ro-MO"/>
        </w:rPr>
        <w:t>r</w:t>
      </w:r>
      <w:r w:rsidRPr="003B6BD3">
        <w:rPr>
          <w:spacing w:val="-2"/>
          <w:sz w:val="24"/>
          <w:szCs w:val="24"/>
          <w:lang w:val="ro-MO"/>
        </w:rPr>
        <w:t>s</w:t>
      </w:r>
      <w:r w:rsidRPr="003B6BD3">
        <w:rPr>
          <w:sz w:val="24"/>
          <w:szCs w:val="24"/>
          <w:lang w:val="ro-MO"/>
        </w:rPr>
        <w:t>on</w:t>
      </w:r>
      <w:r w:rsidRPr="003B6BD3">
        <w:rPr>
          <w:spacing w:val="-3"/>
          <w:sz w:val="24"/>
          <w:szCs w:val="24"/>
          <w:lang w:val="ro-MO"/>
        </w:rPr>
        <w:t>a</w:t>
      </w:r>
      <w:r w:rsidRPr="003B6BD3">
        <w:rPr>
          <w:spacing w:val="-2"/>
          <w:sz w:val="24"/>
          <w:szCs w:val="24"/>
          <w:lang w:val="ro-MO"/>
        </w:rPr>
        <w:t>l</w:t>
      </w:r>
      <w:r w:rsidRPr="003B6BD3">
        <w:rPr>
          <w:sz w:val="24"/>
          <w:szCs w:val="24"/>
          <w:lang w:val="ro-MO"/>
        </w:rPr>
        <w:t>u</w:t>
      </w:r>
      <w:r w:rsidRPr="003B6BD3">
        <w:rPr>
          <w:spacing w:val="-2"/>
          <w:sz w:val="24"/>
          <w:szCs w:val="24"/>
          <w:lang w:val="ro-MO"/>
        </w:rPr>
        <w:t>lu</w:t>
      </w:r>
      <w:r w:rsidRPr="003B6BD3">
        <w:rPr>
          <w:sz w:val="24"/>
          <w:szCs w:val="24"/>
          <w:lang w:val="ro-MO"/>
        </w:rPr>
        <w:t>i p</w:t>
      </w:r>
      <w:r w:rsidRPr="003B6BD3">
        <w:rPr>
          <w:spacing w:val="-2"/>
          <w:sz w:val="24"/>
          <w:szCs w:val="24"/>
          <w:lang w:val="ro-MO"/>
        </w:rPr>
        <w:t>r</w:t>
      </w:r>
      <w:r w:rsidRPr="003B6BD3">
        <w:rPr>
          <w:sz w:val="24"/>
          <w:szCs w:val="24"/>
          <w:lang w:val="ro-MO"/>
        </w:rPr>
        <w:t>i</w:t>
      </w:r>
      <w:r w:rsidRPr="003B6BD3">
        <w:rPr>
          <w:spacing w:val="-2"/>
          <w:sz w:val="24"/>
          <w:szCs w:val="24"/>
          <w:lang w:val="ro-MO"/>
        </w:rPr>
        <w:t>v</w:t>
      </w:r>
      <w:r w:rsidRPr="003B6BD3">
        <w:rPr>
          <w:sz w:val="24"/>
          <w:szCs w:val="24"/>
          <w:lang w:val="ro-MO"/>
        </w:rPr>
        <w:t>i</w:t>
      </w:r>
      <w:r w:rsidRPr="003B6BD3">
        <w:rPr>
          <w:spacing w:val="-2"/>
          <w:sz w:val="24"/>
          <w:szCs w:val="24"/>
          <w:lang w:val="ro-MO"/>
        </w:rPr>
        <w:t>n</w:t>
      </w:r>
      <w:r w:rsidRPr="003B6BD3">
        <w:rPr>
          <w:sz w:val="24"/>
          <w:szCs w:val="24"/>
          <w:lang w:val="ro-MO"/>
        </w:rPr>
        <w:t>d utilizarea corectă a echipamentului de protecție, efectuarea calitativă a</w:t>
      </w:r>
      <w:r>
        <w:rPr>
          <w:sz w:val="24"/>
          <w:szCs w:val="24"/>
          <w:lang w:val="ro-MO"/>
        </w:rPr>
        <w:t xml:space="preserve"> </w:t>
      </w:r>
      <w:r w:rsidRPr="003B6BD3">
        <w:rPr>
          <w:spacing w:val="-4"/>
          <w:sz w:val="24"/>
          <w:szCs w:val="24"/>
          <w:lang w:val="ro-MO"/>
        </w:rPr>
        <w:t xml:space="preserve">triajului </w:t>
      </w:r>
      <w:r w:rsidRPr="003B6BD3">
        <w:rPr>
          <w:spacing w:val="1"/>
          <w:sz w:val="24"/>
          <w:szCs w:val="24"/>
          <w:lang w:val="ro-MO"/>
        </w:rPr>
        <w:t>p</w:t>
      </w:r>
      <w:r w:rsidRPr="003B6BD3">
        <w:rPr>
          <w:sz w:val="24"/>
          <w:szCs w:val="24"/>
          <w:lang w:val="ro-MO"/>
        </w:rPr>
        <w:t>a</w:t>
      </w:r>
      <w:r w:rsidRPr="003B6BD3">
        <w:rPr>
          <w:spacing w:val="-3"/>
          <w:sz w:val="24"/>
          <w:szCs w:val="24"/>
          <w:lang w:val="ro-MO"/>
        </w:rPr>
        <w:t>c</w:t>
      </w:r>
      <w:r w:rsidRPr="003B6BD3">
        <w:rPr>
          <w:sz w:val="24"/>
          <w:szCs w:val="24"/>
          <w:lang w:val="ro-MO"/>
        </w:rPr>
        <w:t>i</w:t>
      </w:r>
      <w:r w:rsidRPr="003B6BD3">
        <w:rPr>
          <w:spacing w:val="-3"/>
          <w:sz w:val="24"/>
          <w:szCs w:val="24"/>
          <w:lang w:val="ro-MO"/>
        </w:rPr>
        <w:t>e</w:t>
      </w:r>
      <w:r w:rsidRPr="003B6BD3">
        <w:rPr>
          <w:sz w:val="24"/>
          <w:szCs w:val="24"/>
          <w:lang w:val="ro-MO"/>
        </w:rPr>
        <w:t>nț</w:t>
      </w:r>
      <w:r w:rsidRPr="003B6BD3">
        <w:rPr>
          <w:spacing w:val="-2"/>
          <w:sz w:val="24"/>
          <w:szCs w:val="24"/>
          <w:lang w:val="ro-MO"/>
        </w:rPr>
        <w:t>il</w:t>
      </w:r>
      <w:r w:rsidRPr="003B6BD3">
        <w:rPr>
          <w:sz w:val="24"/>
          <w:szCs w:val="24"/>
          <w:lang w:val="ro-MO"/>
        </w:rPr>
        <w:t xml:space="preserve">or  </w:t>
      </w:r>
      <w:r w:rsidRPr="003B6BD3">
        <w:rPr>
          <w:spacing w:val="-2"/>
          <w:sz w:val="24"/>
          <w:szCs w:val="24"/>
          <w:lang w:val="ro-MO"/>
        </w:rPr>
        <w:t>î</w:t>
      </w:r>
      <w:r w:rsidRPr="003B6BD3">
        <w:rPr>
          <w:sz w:val="24"/>
          <w:szCs w:val="24"/>
          <w:lang w:val="ro-MO"/>
        </w:rPr>
        <w:t>n</w:t>
      </w:r>
      <w:r>
        <w:rPr>
          <w:sz w:val="24"/>
          <w:szCs w:val="24"/>
          <w:lang w:val="ro-MO"/>
        </w:rPr>
        <w:t xml:space="preserve"> </w:t>
      </w:r>
      <w:r w:rsidRPr="003B6BD3">
        <w:rPr>
          <w:spacing w:val="-3"/>
          <w:sz w:val="24"/>
          <w:szCs w:val="24"/>
          <w:lang w:val="ro-MO"/>
        </w:rPr>
        <w:t>c</w:t>
      </w:r>
      <w:r w:rsidRPr="003B6BD3">
        <w:rPr>
          <w:sz w:val="24"/>
          <w:szCs w:val="24"/>
          <w:lang w:val="ro-MO"/>
        </w:rPr>
        <w:t>o</w:t>
      </w:r>
      <w:r w:rsidRPr="003B6BD3">
        <w:rPr>
          <w:spacing w:val="-2"/>
          <w:sz w:val="24"/>
          <w:szCs w:val="24"/>
          <w:lang w:val="ro-MO"/>
        </w:rPr>
        <w:t>nd</w:t>
      </w:r>
      <w:r w:rsidRPr="003B6BD3">
        <w:rPr>
          <w:sz w:val="24"/>
          <w:szCs w:val="24"/>
          <w:lang w:val="ro-MO"/>
        </w:rPr>
        <w:t>iț</w:t>
      </w:r>
      <w:r w:rsidRPr="003B6BD3">
        <w:rPr>
          <w:spacing w:val="1"/>
          <w:sz w:val="24"/>
          <w:szCs w:val="24"/>
          <w:lang w:val="ro-MO"/>
        </w:rPr>
        <w:t xml:space="preserve">ii </w:t>
      </w:r>
      <w:r w:rsidRPr="003B6BD3">
        <w:rPr>
          <w:sz w:val="24"/>
          <w:szCs w:val="24"/>
          <w:lang w:val="ro-MO"/>
        </w:rPr>
        <w:t>de se</w:t>
      </w:r>
      <w:r w:rsidRPr="003B6BD3">
        <w:rPr>
          <w:spacing w:val="-3"/>
          <w:sz w:val="24"/>
          <w:szCs w:val="24"/>
          <w:lang w:val="ro-MO"/>
        </w:rPr>
        <w:t>c</w:t>
      </w:r>
      <w:r w:rsidRPr="003B6BD3">
        <w:rPr>
          <w:sz w:val="24"/>
          <w:szCs w:val="24"/>
          <w:lang w:val="ro-MO"/>
        </w:rPr>
        <w:t>u</w:t>
      </w:r>
      <w:r w:rsidRPr="003B6BD3">
        <w:rPr>
          <w:spacing w:val="-3"/>
          <w:sz w:val="24"/>
          <w:szCs w:val="24"/>
          <w:lang w:val="ro-MO"/>
        </w:rPr>
        <w:t>r</w:t>
      </w:r>
      <w:r w:rsidRPr="003B6BD3">
        <w:rPr>
          <w:sz w:val="24"/>
          <w:szCs w:val="24"/>
          <w:lang w:val="ro-MO"/>
        </w:rPr>
        <w:t>it</w:t>
      </w:r>
      <w:r w:rsidRPr="003B6BD3">
        <w:rPr>
          <w:spacing w:val="-3"/>
          <w:sz w:val="24"/>
          <w:szCs w:val="24"/>
          <w:lang w:val="ro-MO"/>
        </w:rPr>
        <w:t>a</w:t>
      </w:r>
      <w:r w:rsidRPr="003B6BD3">
        <w:rPr>
          <w:sz w:val="24"/>
          <w:szCs w:val="24"/>
          <w:lang w:val="ro-MO"/>
        </w:rPr>
        <w:t xml:space="preserve">te </w:t>
      </w:r>
      <w:r w:rsidRPr="003B6BD3">
        <w:rPr>
          <w:spacing w:val="-3"/>
          <w:sz w:val="24"/>
          <w:szCs w:val="24"/>
          <w:lang w:val="ro-MO"/>
        </w:rPr>
        <w:t>e</w:t>
      </w:r>
      <w:r w:rsidRPr="003B6BD3">
        <w:rPr>
          <w:sz w:val="24"/>
          <w:szCs w:val="24"/>
          <w:lang w:val="ro-MO"/>
        </w:rPr>
        <w:t>p</w:t>
      </w:r>
      <w:r w:rsidRPr="003B6BD3">
        <w:rPr>
          <w:spacing w:val="-2"/>
          <w:sz w:val="24"/>
          <w:szCs w:val="24"/>
          <w:lang w:val="ro-MO"/>
        </w:rPr>
        <w:t>i</w:t>
      </w:r>
      <w:r w:rsidRPr="003B6BD3">
        <w:rPr>
          <w:sz w:val="24"/>
          <w:szCs w:val="24"/>
          <w:lang w:val="ro-MO"/>
        </w:rPr>
        <w:t>d</w:t>
      </w:r>
      <w:r w:rsidRPr="003B6BD3">
        <w:rPr>
          <w:spacing w:val="-3"/>
          <w:sz w:val="24"/>
          <w:szCs w:val="24"/>
          <w:lang w:val="ro-MO"/>
        </w:rPr>
        <w:t>em</w:t>
      </w:r>
      <w:r w:rsidRPr="003B6BD3">
        <w:rPr>
          <w:sz w:val="24"/>
          <w:szCs w:val="24"/>
          <w:lang w:val="ro-MO"/>
        </w:rPr>
        <w:t>i</w:t>
      </w:r>
      <w:r w:rsidRPr="003B6BD3">
        <w:rPr>
          <w:spacing w:val="-2"/>
          <w:sz w:val="24"/>
          <w:szCs w:val="24"/>
          <w:lang w:val="ro-MO"/>
        </w:rPr>
        <w:t>o</w:t>
      </w:r>
      <w:r w:rsidRPr="003B6BD3">
        <w:rPr>
          <w:sz w:val="24"/>
          <w:szCs w:val="24"/>
          <w:lang w:val="ro-MO"/>
        </w:rPr>
        <w:t>l</w:t>
      </w:r>
      <w:r w:rsidRPr="003B6BD3">
        <w:rPr>
          <w:spacing w:val="-2"/>
          <w:sz w:val="24"/>
          <w:szCs w:val="24"/>
          <w:lang w:val="ro-MO"/>
        </w:rPr>
        <w:t>og</w:t>
      </w:r>
      <w:r w:rsidRPr="003B6BD3">
        <w:rPr>
          <w:sz w:val="24"/>
          <w:szCs w:val="24"/>
          <w:lang w:val="ro-MO"/>
        </w:rPr>
        <w:t>ic</w:t>
      </w:r>
      <w:r w:rsidRPr="003B6BD3">
        <w:rPr>
          <w:spacing w:val="3"/>
          <w:sz w:val="24"/>
          <w:szCs w:val="24"/>
          <w:lang w:val="ro-MO"/>
        </w:rPr>
        <w:t>ă</w:t>
      </w:r>
      <w:r w:rsidRPr="003B6BD3">
        <w:rPr>
          <w:sz w:val="24"/>
          <w:szCs w:val="24"/>
          <w:lang w:val="ro-MO"/>
        </w:rPr>
        <w:t xml:space="preserve">, </w:t>
      </w:r>
      <w:r w:rsidRPr="003B6BD3">
        <w:rPr>
          <w:b/>
          <w:spacing w:val="-2"/>
          <w:sz w:val="24"/>
          <w:szCs w:val="24"/>
          <w:lang w:val="ro-MO"/>
        </w:rPr>
        <w:t>l</w:t>
      </w:r>
      <w:r w:rsidRPr="003B6BD3">
        <w:rPr>
          <w:b/>
          <w:sz w:val="24"/>
          <w:szCs w:val="24"/>
          <w:lang w:val="ro-MO"/>
        </w:rPr>
        <w:t>a</w:t>
      </w:r>
      <w:r w:rsidRPr="003B6BD3">
        <w:rPr>
          <w:b/>
          <w:spacing w:val="-2"/>
          <w:sz w:val="24"/>
          <w:szCs w:val="24"/>
          <w:lang w:val="ro-MO"/>
        </w:rPr>
        <w:t xml:space="preserve"> l</w:t>
      </w:r>
      <w:r w:rsidRPr="003B6BD3">
        <w:rPr>
          <w:b/>
          <w:sz w:val="24"/>
          <w:szCs w:val="24"/>
          <w:lang w:val="ro-MO"/>
        </w:rPr>
        <w:t>oc</w:t>
      </w:r>
      <w:r w:rsidRPr="003B6BD3">
        <w:rPr>
          <w:b/>
          <w:spacing w:val="-3"/>
          <w:sz w:val="24"/>
          <w:szCs w:val="24"/>
          <w:lang w:val="ro-MO"/>
        </w:rPr>
        <w:t>u</w:t>
      </w:r>
      <w:r w:rsidRPr="003B6BD3">
        <w:rPr>
          <w:b/>
          <w:sz w:val="24"/>
          <w:szCs w:val="24"/>
          <w:lang w:val="ro-MO"/>
        </w:rPr>
        <w:t>l</w:t>
      </w:r>
      <w:r w:rsidRPr="003B6BD3">
        <w:rPr>
          <w:b/>
          <w:spacing w:val="-1"/>
          <w:sz w:val="24"/>
          <w:szCs w:val="24"/>
          <w:lang w:val="ro-MO"/>
        </w:rPr>
        <w:t xml:space="preserve"> d</w:t>
      </w:r>
      <w:r w:rsidRPr="003B6BD3">
        <w:rPr>
          <w:b/>
          <w:sz w:val="24"/>
          <w:szCs w:val="24"/>
          <w:lang w:val="ro-MO"/>
        </w:rPr>
        <w:t>e</w:t>
      </w:r>
      <w:r w:rsidRPr="003B6BD3">
        <w:rPr>
          <w:b/>
          <w:spacing w:val="-2"/>
          <w:sz w:val="24"/>
          <w:szCs w:val="24"/>
          <w:lang w:val="ro-MO"/>
        </w:rPr>
        <w:t xml:space="preserve"> m</w:t>
      </w:r>
      <w:r w:rsidRPr="003B6BD3">
        <w:rPr>
          <w:b/>
          <w:spacing w:val="-1"/>
          <w:sz w:val="24"/>
          <w:szCs w:val="24"/>
          <w:lang w:val="ro-MO"/>
        </w:rPr>
        <w:t>unc</w:t>
      </w:r>
      <w:r w:rsidRPr="003B6BD3">
        <w:rPr>
          <w:b/>
          <w:spacing w:val="3"/>
          <w:sz w:val="24"/>
          <w:szCs w:val="24"/>
          <w:lang w:val="ro-MO"/>
        </w:rPr>
        <w:t>ă</w:t>
      </w:r>
      <w:r w:rsidRPr="003B6BD3">
        <w:rPr>
          <w:b/>
          <w:sz w:val="24"/>
          <w:szCs w:val="24"/>
          <w:lang w:val="ro-MO"/>
        </w:rPr>
        <w:t xml:space="preserve">, </w:t>
      </w:r>
      <w:r w:rsidRPr="003B6BD3">
        <w:rPr>
          <w:sz w:val="24"/>
          <w:szCs w:val="24"/>
          <w:lang w:val="ro-MO"/>
        </w:rPr>
        <w:t>sub semnătură</w:t>
      </w:r>
      <w:r w:rsidRPr="003B6BD3">
        <w:rPr>
          <w:b/>
          <w:sz w:val="24"/>
          <w:szCs w:val="24"/>
          <w:lang w:val="ro-MO"/>
        </w:rPr>
        <w:t xml:space="preserve">. </w:t>
      </w:r>
    </w:p>
    <w:p w:rsidR="00A94B67" w:rsidRPr="003B6BD3" w:rsidRDefault="00A94B67" w:rsidP="003B6BD3">
      <w:pPr>
        <w:pStyle w:val="a9"/>
        <w:ind w:right="372"/>
        <w:jc w:val="both"/>
        <w:rPr>
          <w:sz w:val="24"/>
          <w:szCs w:val="24"/>
          <w:lang w:val="ro-MO"/>
        </w:rPr>
      </w:pPr>
      <w:r w:rsidRPr="003B6BD3">
        <w:rPr>
          <w:sz w:val="24"/>
          <w:szCs w:val="24"/>
          <w:lang w:val="ro-MO"/>
        </w:rPr>
        <w:t xml:space="preserve">S-a petrecut reevaluarea asigurării IMSP SR Ștefan Vodă </w:t>
      </w:r>
      <w:r w:rsidR="003B6BD3" w:rsidRPr="003B6BD3">
        <w:rPr>
          <w:sz w:val="24"/>
          <w:szCs w:val="24"/>
          <w:lang w:val="ro-MO"/>
        </w:rPr>
        <w:t>cu</w:t>
      </w:r>
      <w:r w:rsidR="003B6BD3">
        <w:rPr>
          <w:sz w:val="24"/>
          <w:szCs w:val="24"/>
          <w:lang w:val="ro-MO"/>
        </w:rPr>
        <w:t xml:space="preserve"> </w:t>
      </w:r>
      <w:r w:rsidR="003B6BD3" w:rsidRPr="003B6BD3">
        <w:rPr>
          <w:sz w:val="24"/>
          <w:szCs w:val="24"/>
          <w:lang w:val="ro-MO"/>
        </w:rPr>
        <w:t>de</w:t>
      </w:r>
      <w:r w:rsidR="003B6BD3" w:rsidRPr="003B6BD3">
        <w:rPr>
          <w:spacing w:val="-2"/>
          <w:sz w:val="24"/>
          <w:szCs w:val="24"/>
          <w:lang w:val="ro-MO"/>
        </w:rPr>
        <w:t>z</w:t>
      </w:r>
      <w:r w:rsidR="003B6BD3" w:rsidRPr="003B6BD3">
        <w:rPr>
          <w:sz w:val="24"/>
          <w:szCs w:val="24"/>
          <w:lang w:val="ro-MO"/>
        </w:rPr>
        <w:t>i</w:t>
      </w:r>
      <w:r w:rsidR="003B6BD3" w:rsidRPr="003B6BD3">
        <w:rPr>
          <w:spacing w:val="-2"/>
          <w:sz w:val="24"/>
          <w:szCs w:val="24"/>
          <w:lang w:val="ro-MO"/>
        </w:rPr>
        <w:t>n</w:t>
      </w:r>
      <w:r w:rsidR="003B6BD3" w:rsidRPr="003B6BD3">
        <w:rPr>
          <w:sz w:val="24"/>
          <w:szCs w:val="24"/>
          <w:lang w:val="ro-MO"/>
        </w:rPr>
        <w:t>fe</w:t>
      </w:r>
      <w:r w:rsidR="003B6BD3" w:rsidRPr="003B6BD3">
        <w:rPr>
          <w:spacing w:val="-2"/>
          <w:sz w:val="24"/>
          <w:szCs w:val="24"/>
          <w:lang w:val="ro-MO"/>
        </w:rPr>
        <w:t>c</w:t>
      </w:r>
      <w:r w:rsidR="003B6BD3" w:rsidRPr="003B6BD3">
        <w:rPr>
          <w:sz w:val="24"/>
          <w:szCs w:val="24"/>
          <w:lang w:val="ro-MO"/>
        </w:rPr>
        <w:t>t</w:t>
      </w:r>
      <w:r w:rsidR="003B6BD3" w:rsidRPr="003B6BD3">
        <w:rPr>
          <w:spacing w:val="-3"/>
          <w:sz w:val="24"/>
          <w:szCs w:val="24"/>
          <w:lang w:val="ro-MO"/>
        </w:rPr>
        <w:t>a</w:t>
      </w:r>
      <w:r w:rsidR="003B6BD3" w:rsidRPr="003B6BD3">
        <w:rPr>
          <w:sz w:val="24"/>
          <w:szCs w:val="24"/>
          <w:lang w:val="ro-MO"/>
        </w:rPr>
        <w:t>nți</w:t>
      </w:r>
      <w:r w:rsidRPr="003B6BD3">
        <w:rPr>
          <w:sz w:val="24"/>
          <w:szCs w:val="24"/>
          <w:lang w:val="ro-MO"/>
        </w:rPr>
        <w:t>,</w:t>
      </w:r>
      <w:r w:rsidRPr="003B6BD3">
        <w:rPr>
          <w:spacing w:val="-2"/>
          <w:sz w:val="24"/>
          <w:szCs w:val="24"/>
          <w:lang w:val="ro-MO"/>
        </w:rPr>
        <w:t>d</w:t>
      </w:r>
      <w:r w:rsidRPr="003B6BD3">
        <w:rPr>
          <w:sz w:val="24"/>
          <w:szCs w:val="24"/>
          <w:lang w:val="ro-MO"/>
        </w:rPr>
        <w:t>ete</w:t>
      </w:r>
      <w:r w:rsidRPr="003B6BD3">
        <w:rPr>
          <w:spacing w:val="-3"/>
          <w:sz w:val="24"/>
          <w:szCs w:val="24"/>
          <w:lang w:val="ro-MO"/>
        </w:rPr>
        <w:t>r</w:t>
      </w:r>
      <w:r w:rsidRPr="003B6BD3">
        <w:rPr>
          <w:sz w:val="24"/>
          <w:szCs w:val="24"/>
          <w:lang w:val="ro-MO"/>
        </w:rPr>
        <w:t>g</w:t>
      </w:r>
      <w:r w:rsidRPr="003B6BD3">
        <w:rPr>
          <w:spacing w:val="-3"/>
          <w:sz w:val="24"/>
          <w:szCs w:val="24"/>
          <w:lang w:val="ro-MO"/>
        </w:rPr>
        <w:t>e</w:t>
      </w:r>
      <w:r w:rsidRPr="003B6BD3">
        <w:rPr>
          <w:sz w:val="24"/>
          <w:szCs w:val="24"/>
          <w:lang w:val="ro-MO"/>
        </w:rPr>
        <w:t>nț</w:t>
      </w:r>
      <w:r w:rsidRPr="003B6BD3">
        <w:rPr>
          <w:spacing w:val="-2"/>
          <w:sz w:val="24"/>
          <w:szCs w:val="24"/>
          <w:lang w:val="ro-MO"/>
        </w:rPr>
        <w:t xml:space="preserve">i, </w:t>
      </w:r>
      <w:r w:rsidRPr="003B6BD3">
        <w:rPr>
          <w:sz w:val="24"/>
          <w:szCs w:val="24"/>
          <w:lang w:val="ro-MO"/>
        </w:rPr>
        <w:t xml:space="preserve">rezerve a echipamentului individual de protecție în dependență de fluxul bolnavilor  care ar asigura necesitățile pentru activitate. </w:t>
      </w:r>
    </w:p>
    <w:p w:rsidR="00A94B67" w:rsidRPr="003B6BD3" w:rsidRDefault="00A94B67" w:rsidP="003B6BD3">
      <w:pPr>
        <w:pStyle w:val="a9"/>
        <w:shd w:val="clear" w:color="auto" w:fill="C2D69B" w:themeFill="accent3" w:themeFillTint="99"/>
        <w:ind w:right="372"/>
        <w:jc w:val="both"/>
        <w:rPr>
          <w:sz w:val="24"/>
          <w:szCs w:val="24"/>
          <w:lang w:val="ro-MO"/>
        </w:rPr>
      </w:pPr>
      <w:r w:rsidRPr="003B6BD3">
        <w:rPr>
          <w:sz w:val="24"/>
          <w:szCs w:val="24"/>
          <w:lang w:val="ro-MO"/>
        </w:rPr>
        <w:tab/>
        <w:t xml:space="preserve">Pe parcursul desfășurării  pandemiei cu COVID-19, </w:t>
      </w:r>
      <w:r w:rsidR="003B6BD3">
        <w:rPr>
          <w:sz w:val="24"/>
          <w:szCs w:val="24"/>
          <w:lang w:val="ro-MO"/>
        </w:rPr>
        <w:t xml:space="preserve"> </w:t>
      </w:r>
      <w:r w:rsidRPr="003B6BD3">
        <w:rPr>
          <w:sz w:val="24"/>
          <w:szCs w:val="24"/>
          <w:lang w:val="ro-MO"/>
        </w:rPr>
        <w:t>CSP Ștefan Vodă a activat în situații de criză suprasolicitat</w:t>
      </w:r>
      <w:r w:rsidR="003B6BD3">
        <w:rPr>
          <w:sz w:val="24"/>
          <w:szCs w:val="24"/>
          <w:lang w:val="ro-MO"/>
        </w:rPr>
        <w:t>ă</w:t>
      </w:r>
    </w:p>
    <w:p w:rsidR="00A94B67" w:rsidRPr="003B6BD3" w:rsidRDefault="00A94B67" w:rsidP="003B6BD3">
      <w:pPr>
        <w:pStyle w:val="a9"/>
        <w:ind w:right="372" w:firstLine="572"/>
        <w:jc w:val="both"/>
        <w:rPr>
          <w:sz w:val="24"/>
          <w:szCs w:val="24"/>
          <w:lang w:val="ro-MO"/>
        </w:rPr>
      </w:pPr>
      <w:r w:rsidRPr="003B6BD3">
        <w:rPr>
          <w:sz w:val="24"/>
          <w:szCs w:val="24"/>
          <w:lang w:val="ro-MO"/>
        </w:rPr>
        <w:t xml:space="preserve">S-au petrecut înregistrarea și anchetarea tuturor cazurilor de COVID-19 înregistrate cu raportarea lor ulterioară la ANSP și MSMPS. Bolnavii de COVID-19 înregistrați în baza formularului de raportare F058/e  paralel sunt </w:t>
      </w:r>
      <w:r w:rsidR="003B6BD3" w:rsidRPr="003B6BD3">
        <w:rPr>
          <w:sz w:val="24"/>
          <w:szCs w:val="24"/>
          <w:lang w:val="ro-MO"/>
        </w:rPr>
        <w:t>introduși</w:t>
      </w:r>
      <w:r w:rsidRPr="003B6BD3">
        <w:rPr>
          <w:sz w:val="24"/>
          <w:szCs w:val="24"/>
          <w:lang w:val="ro-MO"/>
        </w:rPr>
        <w:t xml:space="preserve"> și în baza de date la nivel de republică.</w:t>
      </w:r>
    </w:p>
    <w:p w:rsidR="00A94B67" w:rsidRPr="003B6BD3" w:rsidRDefault="00A94B67" w:rsidP="003B6BD3">
      <w:pPr>
        <w:pStyle w:val="a9"/>
        <w:ind w:right="372" w:firstLine="572"/>
        <w:jc w:val="both"/>
        <w:rPr>
          <w:sz w:val="24"/>
          <w:szCs w:val="24"/>
          <w:lang w:val="ro-MO"/>
        </w:rPr>
      </w:pPr>
      <w:r w:rsidRPr="003B6BD3">
        <w:rPr>
          <w:sz w:val="24"/>
          <w:szCs w:val="24"/>
          <w:lang w:val="ro-MO"/>
        </w:rPr>
        <w:t xml:space="preserve"> De comun cu AMP s-au  întocmit cercul de contacți al bolnavilor cu plasarea lor în carantină, monitorizarea stării de sănătate, investigării de laborator. </w:t>
      </w:r>
      <w:r w:rsidR="003B6BD3" w:rsidRPr="003B6BD3">
        <w:rPr>
          <w:sz w:val="24"/>
          <w:szCs w:val="24"/>
          <w:lang w:val="ro-MO"/>
        </w:rPr>
        <w:t>Introducerea</w:t>
      </w:r>
      <w:r w:rsidRPr="003B6BD3">
        <w:rPr>
          <w:sz w:val="24"/>
          <w:szCs w:val="24"/>
          <w:lang w:val="ro-MO"/>
        </w:rPr>
        <w:t xml:space="preserve"> numărului de contacți în baza de date electronică la nivel de republică.</w:t>
      </w:r>
    </w:p>
    <w:p w:rsidR="00A94B67" w:rsidRPr="003B6BD3" w:rsidRDefault="00A94B67" w:rsidP="003B6BD3">
      <w:pPr>
        <w:pStyle w:val="a9"/>
        <w:ind w:right="372" w:firstLine="572"/>
        <w:jc w:val="both"/>
        <w:rPr>
          <w:sz w:val="24"/>
          <w:szCs w:val="24"/>
          <w:lang w:val="ro-MO"/>
        </w:rPr>
      </w:pPr>
      <w:r w:rsidRPr="003B6BD3">
        <w:rPr>
          <w:sz w:val="24"/>
          <w:szCs w:val="24"/>
          <w:lang w:val="ro-MO"/>
        </w:rPr>
        <w:t xml:space="preserve">S-a creat baza de date a persoanelor revenite în țară de peste hotare, cu remiterea lor către AMP și Comisariatul de poliție pentru plasarea </w:t>
      </w:r>
      <w:r w:rsidR="003B6BD3" w:rsidRPr="003B6BD3">
        <w:rPr>
          <w:sz w:val="24"/>
          <w:szCs w:val="24"/>
          <w:lang w:val="ro-MO"/>
        </w:rPr>
        <w:t>lor</w:t>
      </w:r>
      <w:bookmarkStart w:id="0" w:name="_GoBack"/>
      <w:bookmarkEnd w:id="0"/>
      <w:r w:rsidR="003B6BD3">
        <w:rPr>
          <w:sz w:val="24"/>
          <w:szCs w:val="24"/>
          <w:lang w:val="ro-MO"/>
        </w:rPr>
        <w:t xml:space="preserve"> </w:t>
      </w:r>
      <w:r w:rsidR="003B6BD3" w:rsidRPr="003B6BD3">
        <w:rPr>
          <w:sz w:val="24"/>
          <w:szCs w:val="24"/>
          <w:lang w:val="ro-MO"/>
        </w:rPr>
        <w:t>în</w:t>
      </w:r>
      <w:r w:rsidRPr="003B6BD3">
        <w:rPr>
          <w:sz w:val="24"/>
          <w:szCs w:val="24"/>
          <w:lang w:val="ro-MO"/>
        </w:rPr>
        <w:t xml:space="preserve"> autoizolare la domiciliu cu monitorizarea stării de sănătate</w:t>
      </w:r>
    </w:p>
    <w:p w:rsidR="00A94B67" w:rsidRPr="003B6BD3" w:rsidRDefault="00A94B67" w:rsidP="003B6BD3">
      <w:pPr>
        <w:pStyle w:val="a9"/>
        <w:ind w:right="372" w:firstLine="572"/>
        <w:jc w:val="both"/>
        <w:rPr>
          <w:sz w:val="24"/>
          <w:szCs w:val="24"/>
          <w:lang w:val="ro-MO"/>
        </w:rPr>
      </w:pPr>
      <w:r w:rsidRPr="003B6BD3">
        <w:rPr>
          <w:sz w:val="24"/>
          <w:szCs w:val="24"/>
          <w:lang w:val="ro-MO"/>
        </w:rPr>
        <w:t xml:space="preserve">Au fost alcătuite rapoarte zilnice despre situația epidemiologică din teritoriu către PF, ANSP, rapoarte locale; </w:t>
      </w:r>
      <w:r w:rsidR="003B6BD3" w:rsidRPr="003B6BD3">
        <w:rPr>
          <w:sz w:val="24"/>
          <w:szCs w:val="24"/>
          <w:lang w:val="ro-MO"/>
        </w:rPr>
        <w:t>coordonarea</w:t>
      </w:r>
      <w:r w:rsidRPr="003B6BD3">
        <w:rPr>
          <w:sz w:val="24"/>
          <w:szCs w:val="24"/>
          <w:lang w:val="ro-MO"/>
        </w:rPr>
        <w:t xml:space="preserve"> și suprapunerea datelor la nivel teritorial pe localități, note informative către ANSP, MSMPS, demersuri pentru sistarea activității unor obiective în legătură cu înregistrarea cazurilor de COVID (magazine, moară) </w:t>
      </w:r>
      <w:r w:rsidR="003B6BD3" w:rsidRPr="003B6BD3">
        <w:rPr>
          <w:sz w:val="24"/>
          <w:szCs w:val="24"/>
          <w:lang w:val="ro-MO"/>
        </w:rPr>
        <w:t>etc</w:t>
      </w:r>
      <w:r w:rsidR="003B6BD3">
        <w:rPr>
          <w:sz w:val="24"/>
          <w:szCs w:val="24"/>
          <w:lang w:val="ro-MO"/>
        </w:rPr>
        <w:t>.</w:t>
      </w:r>
    </w:p>
    <w:p w:rsidR="00A94B67" w:rsidRPr="003B6BD3" w:rsidRDefault="00A94B67" w:rsidP="003B6BD3">
      <w:pPr>
        <w:pStyle w:val="a9"/>
        <w:ind w:right="372" w:firstLine="572"/>
        <w:jc w:val="both"/>
        <w:rPr>
          <w:sz w:val="24"/>
          <w:szCs w:val="24"/>
          <w:lang w:val="ro-MO"/>
        </w:rPr>
      </w:pPr>
      <w:r w:rsidRPr="003B6BD3">
        <w:rPr>
          <w:sz w:val="24"/>
          <w:szCs w:val="24"/>
          <w:lang w:val="ro-MO"/>
        </w:rPr>
        <w:t>Conlucrarea activă  între AMP, PTD teritorial, Comisariatul de poliție și CSP au fost la un nivel înalt și reciproc.</w:t>
      </w:r>
    </w:p>
    <w:p w:rsidR="00A94B67" w:rsidRPr="003B6BD3" w:rsidRDefault="00A94B67" w:rsidP="003B6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t>Măsuri întreprinse: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1. S-a petrecut ședința Comisiei RESP (04.03.20).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2. Ședința Consiliului de Sănătate Publică (12.03.20)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3. Comisia pentru situații excepționale raionale (17.03.20)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4. Discutarea problemei și trasarea sarcinilor de combatere   a COVID-19 la ședința Colegiului Consultativ al Cancelariei de Stat al oficiului teritorial Căușeni (28.02.20).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- În Hotărârile comisiilor petrecute au fost stipulate sarcini concrete pentru fiecare instituție  referitor la petrecerea măsurilor de prevenire și control al </w:t>
      </w:r>
      <w:r w:rsidR="003B6BD3" w:rsidRPr="003B6BD3">
        <w:rPr>
          <w:rFonts w:ascii="Times New Roman" w:hAnsi="Times New Roman" w:cs="Times New Roman"/>
          <w:sz w:val="24"/>
          <w:szCs w:val="24"/>
          <w:lang w:val="ro-MO"/>
        </w:rPr>
        <w:t>infecției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COVID-19, transmise tuturor actorilor  și prin poșta electronică.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5. Instruirea colaboratorilor IMSP SR despre măsurile de prevenire  și control al infecției COVID-19 (sub semnătura – 20.02.20)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6. S-a revizuit și calculat necesitățile IMSP SR cu EPP, detergenți , dezinfectanți, consumabile ș.a. (26.03.20).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7.  Monitorizarea pregătirii IMSP SR Ștefan Vodă pentru reluarea a activității  (04.05.20 – comisia CSP, SR Căușeni, CSP, SR Ștefan Vodă).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8. S-a instituit o comisie mixtă (CSP, DRSA, IP și APL-I) pentru monitorizarea  respectării executării Hotărârilor  CNESP Nr.11 din 11.05.20 Nr.12 din 25.05.20 și Nr.13 din 29.05.20 inclusiv în magazine , piețe, farmacii și frizerii (au fost evaluate peste 90 de obiective, unde sau  depistat încălcări  la I etapă șefii întreprinderilor au fost preîntâmpinați și avertizați, la etapa II vor fi aplicate  măsuri conform  legislației în vigoare).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9. Se petrec măsuri de sensibilizare a populației prin toate metodele accesibile referitor la sporirea vigilenței față de infecția COVID-19.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t>Sarcini: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1. Sensibilizarea zilnică a lucrătorilor medicali, șefilor, directorilor  ÎI, SRL, AO ș.a. inclusiv  populației despre  măsurile de prevenție a inf</w:t>
      </w:r>
      <w:r w:rsidR="00D66094" w:rsidRPr="003B6BD3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>cției COVID-19 (prin toate măsurile accesibile).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2. Monitorizarea tuturor instituțiilor, întreprinderilor care și-au reluat activitatea indiferent de tipul de proprietate și formă juridică de organizare în vederea respectării stricte a măsurilor ce se impun în profilaxia infecției COVID-19, cu luarea măsurilor conform legislației în vigoare și informarea conducerii raionului în fiecare zi de luni.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3. Depistarea precoce, izolarea</w:t>
      </w:r>
      <w:r w:rsidR="00C74F5A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3B6BD3">
        <w:rPr>
          <w:rFonts w:ascii="Times New Roman" w:hAnsi="Times New Roman" w:cs="Times New Roman"/>
          <w:sz w:val="24"/>
          <w:szCs w:val="24"/>
          <w:lang w:val="ro-MO"/>
        </w:rPr>
        <w:t xml:space="preserve"> informarea CSP despre persoanele suspecte la COVID-19.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sz w:val="24"/>
          <w:szCs w:val="24"/>
          <w:lang w:val="ro-MO"/>
        </w:rPr>
        <w:t>4. Luarea măsurilor față de persoanele juridice și fizice care nu respectă Hotărârile  CESP- la depistare.</w:t>
      </w: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94B67" w:rsidRPr="003B6BD3" w:rsidRDefault="00A94B67" w:rsidP="003B6BD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Coordonator   SSSSP                 </w:t>
      </w:r>
      <w:r w:rsidR="00F508EC" w:rsidRPr="003B6BD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</w:t>
      </w:r>
      <w:r w:rsidRPr="003B6BD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Valeriu   Boian</w:t>
      </w:r>
    </w:p>
    <w:p w:rsidR="00A94B67" w:rsidRPr="003B6BD3" w:rsidRDefault="00A94B67" w:rsidP="003B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A94B67" w:rsidRPr="003B6BD3" w:rsidSect="004561C0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9D4"/>
    <w:multiLevelType w:val="hybridMultilevel"/>
    <w:tmpl w:val="BB16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07BFB"/>
    <w:rsid w:val="0001377C"/>
    <w:rsid w:val="000A24AB"/>
    <w:rsid w:val="000D03B1"/>
    <w:rsid w:val="001079E1"/>
    <w:rsid w:val="00147808"/>
    <w:rsid w:val="001C2636"/>
    <w:rsid w:val="001F78CC"/>
    <w:rsid w:val="0038215D"/>
    <w:rsid w:val="003B6BD3"/>
    <w:rsid w:val="004561C0"/>
    <w:rsid w:val="004B0590"/>
    <w:rsid w:val="0051756A"/>
    <w:rsid w:val="00553F90"/>
    <w:rsid w:val="006C711D"/>
    <w:rsid w:val="00707BFB"/>
    <w:rsid w:val="007709D0"/>
    <w:rsid w:val="007A1974"/>
    <w:rsid w:val="007A57BD"/>
    <w:rsid w:val="00822874"/>
    <w:rsid w:val="00840D5F"/>
    <w:rsid w:val="008B7EC9"/>
    <w:rsid w:val="008C2AC9"/>
    <w:rsid w:val="00970432"/>
    <w:rsid w:val="00A94B67"/>
    <w:rsid w:val="00B63B11"/>
    <w:rsid w:val="00B9797E"/>
    <w:rsid w:val="00C74F5A"/>
    <w:rsid w:val="00C8670F"/>
    <w:rsid w:val="00D66094"/>
    <w:rsid w:val="00DC19FD"/>
    <w:rsid w:val="00DD68F8"/>
    <w:rsid w:val="00E35DAA"/>
    <w:rsid w:val="00E55B61"/>
    <w:rsid w:val="00EB3251"/>
    <w:rsid w:val="00F508EC"/>
    <w:rsid w:val="00F63BE0"/>
    <w:rsid w:val="00F7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07BF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707B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325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35DA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94B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A94B67"/>
    <w:pPr>
      <w:widowControl w:val="0"/>
      <w:autoSpaceDE w:val="0"/>
      <w:autoSpaceDN w:val="0"/>
      <w:spacing w:after="0" w:line="240" w:lineRule="auto"/>
      <w:ind w:left="13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A94B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mps.gov.md/ro/content/situatia-epidemiologica-prin-covid-19-22-martie" TargetMode="External"/><Relationship Id="rId3" Type="http://schemas.openxmlformats.org/officeDocument/2006/relationships/styles" Target="styles.xml"/><Relationship Id="rId7" Type="http://schemas.openxmlformats.org/officeDocument/2006/relationships/hyperlink" Target="https://msmps.gov.md/ro/content/situatia-epidemiologica-prin-covid-19-22-mart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sp@ansp.gov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B9FF-7F69-4863-A692-8D851E7F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2020-06-15T13:25:00Z</cp:lastPrinted>
  <dcterms:created xsi:type="dcterms:W3CDTF">2020-06-17T07:43:00Z</dcterms:created>
  <dcterms:modified xsi:type="dcterms:W3CDTF">2020-06-17T07:54:00Z</dcterms:modified>
</cp:coreProperties>
</file>