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F8" w:rsidRPr="00FF1480" w:rsidRDefault="00F37363" w:rsidP="00F05E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i/>
          <w:sz w:val="24"/>
          <w:szCs w:val="24"/>
          <w:lang w:val="ro-MO"/>
        </w:rPr>
        <w:t>Proiect</w:t>
      </w:r>
    </w:p>
    <w:p w:rsidR="000D62E7" w:rsidRPr="00FF1480" w:rsidRDefault="000D62E7" w:rsidP="00F0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885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E7" w:rsidRPr="00FF1480" w:rsidRDefault="000D62E7" w:rsidP="00F0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REPUBLICA MOLDOVA</w:t>
      </w:r>
    </w:p>
    <w:p w:rsidR="000D62E7" w:rsidRPr="00FF1480" w:rsidRDefault="000D62E7" w:rsidP="00F0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CONSILIUL RAIONAL ŞTEFAN VODĂ</w:t>
      </w:r>
    </w:p>
    <w:p w:rsidR="006F1C7B" w:rsidRPr="00FF1480" w:rsidRDefault="006F1C7B" w:rsidP="00F0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D62E7" w:rsidRPr="00FF1480" w:rsidRDefault="000D62E7" w:rsidP="00F0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DECIZIE nr. </w:t>
      </w:r>
      <w:r w:rsidR="00F05EDD" w:rsidRPr="00FF1480">
        <w:rPr>
          <w:rFonts w:ascii="Times New Roman" w:hAnsi="Times New Roman" w:cs="Times New Roman"/>
          <w:b/>
          <w:sz w:val="24"/>
          <w:szCs w:val="24"/>
          <w:lang w:val="ro-MO"/>
        </w:rPr>
        <w:t>1/</w:t>
      </w:r>
      <w:r w:rsidR="009E40B0" w:rsidRPr="00FF1480">
        <w:rPr>
          <w:rFonts w:ascii="Times New Roman" w:hAnsi="Times New Roman" w:cs="Times New Roman"/>
          <w:b/>
          <w:sz w:val="24"/>
          <w:szCs w:val="24"/>
          <w:lang w:val="ro-MO"/>
        </w:rPr>
        <w:t>7</w:t>
      </w:r>
    </w:p>
    <w:p w:rsidR="000D62E7" w:rsidRPr="00FF1480" w:rsidRDefault="00FF1480" w:rsidP="00F0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>d</w:t>
      </w:r>
      <w:r w:rsidR="000D62E7" w:rsidRPr="00FF1480">
        <w:rPr>
          <w:rFonts w:ascii="Times New Roman" w:hAnsi="Times New Roman" w:cs="Times New Roman"/>
          <w:b/>
          <w:sz w:val="24"/>
          <w:szCs w:val="24"/>
          <w:lang w:val="ro-MO"/>
        </w:rPr>
        <w:t>in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r w:rsidR="002E0E3B">
        <w:rPr>
          <w:rFonts w:ascii="Times New Roman" w:hAnsi="Times New Roman" w:cs="Times New Roman"/>
          <w:b/>
          <w:sz w:val="24"/>
          <w:szCs w:val="24"/>
          <w:lang w:val="ro-MO"/>
        </w:rPr>
        <w:t>21</w:t>
      </w:r>
      <w:r w:rsidR="00F05EDD"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 martie</w:t>
      </w:r>
      <w:r w:rsidR="000D62E7"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 2019</w:t>
      </w:r>
    </w:p>
    <w:p w:rsidR="000D62E7" w:rsidRPr="00FF1480" w:rsidRDefault="000D62E7" w:rsidP="00F05E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F05E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Cu privire la organizarea şi desfăşurarea odihnei şi întremării </w:t>
      </w:r>
    </w:p>
    <w:p w:rsidR="000D62E7" w:rsidRPr="00FF1480" w:rsidRDefault="000D62E7" w:rsidP="00F05E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sănătăţii copiilor şi adolescenţilor în sezonul estival 2019</w:t>
      </w:r>
    </w:p>
    <w:p w:rsidR="000D62E7" w:rsidRPr="00FF1480" w:rsidRDefault="000D62E7" w:rsidP="00F05E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D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În scopul bunei organizări a odihnei şi întremării sănătăţii copiilor şi adolescenţilor din cadrul raionului Ștefan Vodă în sezonul estival 2019;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În baza art.43 alin.</w:t>
      </w:r>
      <w:r w:rsidR="00F05EDD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(1)</w:t>
      </w:r>
      <w:r w:rsidR="00D30CF8">
        <w:rPr>
          <w:rFonts w:ascii="Times New Roman" w:hAnsi="Times New Roman" w:cs="Times New Roman"/>
          <w:sz w:val="24"/>
          <w:szCs w:val="24"/>
          <w:lang w:val="ro-MO"/>
        </w:rPr>
        <w:t>,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lit.</w:t>
      </w:r>
      <w:r w:rsidR="00F05EDD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(s) şi art.</w:t>
      </w:r>
      <w:r w:rsidR="00F05EDD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46 din Legea nr.</w:t>
      </w:r>
      <w:r w:rsidR="00F05EDD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436- XVI din 28 decembrie 2006 privind administraţia publica locală, Consiliul raional Ştefan Vodă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DECIDE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: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1. Se aprobă: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1.1. Planul de acţiuni privind organizarea și desfășurarea odihnei şi întremării sănătăţii copiilor şi adolescenţilor în sezonul estival 2019, 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conform anexei nr.1.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1.2. Componenţa nominală a Comisiei raionale pentru organizarea şi desfăşurarea odihnei şi întremării sănătăţii copiilor şi adolescenţilor în sezonul estival 2019 (în continuare 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Comisia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), care va asigura coordonarea şi monitorizarea acţiunilor serviciilor publice de profil în scopul bunei organizări a odihnei şi întremării sănătăţii copiilor şi adolescenţilor în sezonul estival 2019,</w:t>
      </w:r>
      <w:r w:rsidR="005A607F" w:rsidRPr="00FF1480">
        <w:rPr>
          <w:rFonts w:ascii="Times New Roman" w:hAnsi="Times New Roman" w:cs="Times New Roman"/>
          <w:i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conform anexei nr.2.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1.3 Perioada de activitate a taberei de odihnă „Dumbrava”, 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conform anexei nr.3.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1.4 Preţul unui bilet de odihnă şi întremare pentru anul 2019, în tabăra „Dumbrava”, conform devizului de cheltuieli,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 xml:space="preserve"> anexa nr.4.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2. Comisia de comun acord cu direcţia generală educație, direcţia asistenţă socială şi protecţia familiei, administraţia publică locală de nivelul înt</w:t>
      </w:r>
      <w:r w:rsidR="002E5744" w:rsidRPr="00FF1480">
        <w:rPr>
          <w:rFonts w:ascii="Times New Roman" w:hAnsi="Times New Roman" w:cs="Times New Roman"/>
          <w:sz w:val="24"/>
          <w:szCs w:val="24"/>
          <w:lang w:val="ro-MO"/>
        </w:rPr>
        <w:t>â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i şi doi, organizaţiile sindicale</w:t>
      </w:r>
      <w:r w:rsidR="002E5744" w:rsidRPr="00FF1480">
        <w:rPr>
          <w:rFonts w:ascii="Times New Roman" w:hAnsi="Times New Roman" w:cs="Times New Roman"/>
          <w:sz w:val="24"/>
          <w:szCs w:val="24"/>
          <w:lang w:val="ro-MO"/>
        </w:rPr>
        <w:t>,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vor asigura selectarea copiilor ce se vor odihni din contul bugetului raional şi a bugetului de stat.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3. Se stabileşte că: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3.1. Pentru copii orfani, copii din familii monoparentale, copii din familii defavorizate, copii din familii cu 3 şi mai mulţi copii, copii aflaţi sub tutelă, copii plasaţi în centre de plasament temporar, copii din familii în care ambii părinţi sunt cu </w:t>
      </w:r>
      <w:proofErr w:type="spellStart"/>
      <w:r w:rsidRPr="00FF1480">
        <w:rPr>
          <w:rFonts w:ascii="Times New Roman" w:hAnsi="Times New Roman" w:cs="Times New Roman"/>
          <w:sz w:val="24"/>
          <w:szCs w:val="24"/>
          <w:lang w:val="ro-MO"/>
        </w:rPr>
        <w:t>d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>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zabilităţi</w:t>
      </w:r>
      <w:proofErr w:type="spellEnd"/>
      <w:r w:rsidRPr="00FF1480">
        <w:rPr>
          <w:rFonts w:ascii="Times New Roman" w:hAnsi="Times New Roman" w:cs="Times New Roman"/>
          <w:sz w:val="24"/>
          <w:szCs w:val="24"/>
          <w:lang w:val="ro-MO"/>
        </w:rPr>
        <w:t>, pensionari, copii dotaţi, biletele vor fi achitate din contul bugetului raional;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4. Se permite realizarea biletelor de odihnă pentru copiii şi adolescenţii autorităţilor publice locale, agenţilor economici, persoanelor fizice şi juridice la preţul de 1375 lei.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 Se alocă din contul surselor financiare a Consiliului raional Ştefan Vodă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360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de odihnă în tabăra de odihnă „Dumbrava”, respectiv după cum urmează: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5.1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82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de odihnă pentru copii dotaţi (Conform Deciziei Consiliului raional</w:t>
      </w:r>
      <w:r w:rsidR="002E5744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nr.</w:t>
      </w:r>
      <w:r w:rsidR="002E5744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3/5 din 09 iunie  2017);</w:t>
      </w:r>
    </w:p>
    <w:p w:rsidR="000D62E7" w:rsidRPr="00FF1480" w:rsidRDefault="000D62E7" w:rsidP="00F0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5.2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90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de odihnă pentru copii orfani; din familii în care ambii părinți sunt cu dizabilități, copii  aflați sub tutela, curatelă; copii plasați în servicii de tip familial; copii plasați în centre de plasament  temporar; copii cu dizabilități, copii din familii defavorizate;</w:t>
      </w:r>
    </w:p>
    <w:p w:rsidR="000D62E7" w:rsidRPr="00FF1480" w:rsidRDefault="000D62E7" w:rsidP="009B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5.3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33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de odihnă repartizate individual la discreția consilierilor raionali;</w:t>
      </w:r>
    </w:p>
    <w:p w:rsidR="000D62E7" w:rsidRPr="00FF1480" w:rsidRDefault="000D62E7" w:rsidP="009B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5.4.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25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de odihnă 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>p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ot fi repartizate primăriilor care vor procura bilete de odihnă (la două bilete de odihnă procurate se alocă unul gratis); </w:t>
      </w:r>
    </w:p>
    <w:p w:rsidR="000D62E7" w:rsidRPr="00FF1480" w:rsidRDefault="000D62E7" w:rsidP="009B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5.5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25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de odihnă participanţilor conflictului armat de pe Nistru, războiului din Afganistan, participanţilor la lichidarea consecinţelor avariei de la Cernobîl, colaboratorilor IPR;</w:t>
      </w:r>
    </w:p>
    <w:p w:rsidR="000D62E7" w:rsidRPr="00FF1480" w:rsidRDefault="000D62E7" w:rsidP="009B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5.6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80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de odihnă pentru copii angajaților din sfera  bugetară și agricultura cu achitarea  a 30% din costul  biletului de odihnă din contul bugetului raional și 70% de către beneficiar.</w:t>
      </w:r>
    </w:p>
    <w:p w:rsidR="000D62E7" w:rsidRPr="00FF1480" w:rsidRDefault="000D62E7" w:rsidP="009B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5.7. 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25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bilete pentru copii din județul Dâmbovița, România, conform acordului de cooperare și înfrățire.  </w:t>
      </w:r>
    </w:p>
    <w:p w:rsidR="000D62E7" w:rsidRPr="00FF1480" w:rsidRDefault="000D62E7" w:rsidP="009B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6. Dna </w:t>
      </w:r>
      <w:proofErr w:type="spellStart"/>
      <w:r w:rsidRPr="00FF1480">
        <w:rPr>
          <w:rFonts w:ascii="Times New Roman" w:hAnsi="Times New Roman" w:cs="Times New Roman"/>
          <w:sz w:val="24"/>
          <w:szCs w:val="24"/>
          <w:lang w:val="ro-MO"/>
        </w:rPr>
        <w:t>Raisa</w:t>
      </w:r>
      <w:proofErr w:type="spellEnd"/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Burduja,</w:t>
      </w:r>
      <w:r w:rsidR="00D9436D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seful direcţiei generale educație: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va desemna prin ordin, persoana responsabilă de organizarea odihnei şi întremării sănătăţii copiilor şi adolescenţilor în sezonul estival 2019;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lastRenderedPageBreak/>
        <w:t>va asigura selectarea, completarea şi instruirea personalului didactic care va activa în tabăra „Dumbrava”;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va întreprinde acţiuni necesare pentru asigurarea instituţiilor de odihnă şi întremare a copiilor şi adolescenţilor cu produse alimentare calitative, exercit</w:t>
      </w:r>
      <w:r w:rsidR="009430CF" w:rsidRPr="00FF1480">
        <w:rPr>
          <w:rFonts w:ascii="Times New Roman" w:hAnsi="Times New Roman" w:cs="Times New Roman"/>
          <w:sz w:val="24"/>
          <w:szCs w:val="24"/>
          <w:lang w:val="ro-MO"/>
        </w:rPr>
        <w:t>â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nd un control permanent și riguros asupra respectării normativelor existente, calității și siguranței produselor alimentare achiziționate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va pregăti setul  de documente pentru participarea la licitația desfășurată de Casa Națională de Asigurări Sociale ;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va asigura finalizarea lucrărilor de pregătire a taberei de odihnă „Dumbrava”către 25 mai 2019;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va monitoriza procesul educaţional desfăşurat în tabăra de odihnă şi întremare a sănătă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 xml:space="preserve">ţii copiilor şi adolescenţilor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,,Dumbrava” și în taberele cu sejur de zi;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va asigura de comun cu Inspectoratul raional de poliţie respectarea ordinii publice, securitatea vieţii şi sănătăţii copiilor şi adolescenţilor în perioada aflării lor în tabără;</w:t>
      </w:r>
    </w:p>
    <w:p w:rsidR="000D62E7" w:rsidRPr="00FF1480" w:rsidRDefault="000D62E7" w:rsidP="000D6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va oglindi desfăşurarea odihnei de vară a copiilor pe pagina web a Consiliului  raional</w:t>
      </w:r>
      <w:r w:rsidR="009430CF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Ștefan Vodă,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D</w:t>
      </w:r>
      <w:r w:rsidR="009430CF" w:rsidRPr="00FF1480">
        <w:rPr>
          <w:rFonts w:ascii="Times New Roman" w:hAnsi="Times New Roman" w:cs="Times New Roman"/>
          <w:sz w:val="24"/>
          <w:szCs w:val="24"/>
          <w:lang w:val="ro-MO"/>
        </w:rPr>
        <w:t>irecției generale educație și alte mijloace de informare în masă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0D62E7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7. D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 xml:space="preserve">l Ion </w:t>
      </w:r>
      <w:proofErr w:type="spellStart"/>
      <w:r w:rsidR="00105A22">
        <w:rPr>
          <w:rFonts w:ascii="Times New Roman" w:hAnsi="Times New Roman" w:cs="Times New Roman"/>
          <w:sz w:val="24"/>
          <w:szCs w:val="24"/>
          <w:lang w:val="ro-MO"/>
        </w:rPr>
        <w:t>Țî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b</w:t>
      </w:r>
      <w:r w:rsidR="003C0680" w:rsidRPr="00FF1480">
        <w:rPr>
          <w:rFonts w:ascii="Times New Roman" w:hAnsi="Times New Roman" w:cs="Times New Roman"/>
          <w:sz w:val="24"/>
          <w:szCs w:val="24"/>
          <w:lang w:val="ro-MO"/>
        </w:rPr>
        <w:t>î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rnac</w:t>
      </w:r>
      <w:proofErr w:type="spellEnd"/>
      <w:r w:rsidR="00105A22">
        <w:rPr>
          <w:rFonts w:ascii="Times New Roman" w:hAnsi="Times New Roman" w:cs="Times New Roman"/>
          <w:sz w:val="24"/>
          <w:szCs w:val="24"/>
          <w:lang w:val="ro-MO"/>
        </w:rPr>
        <w:t>,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șef IMPS Centrul de sănătate Talmaza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>,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3C0680" w:rsidRPr="00FF1480">
        <w:rPr>
          <w:rFonts w:ascii="Times New Roman" w:hAnsi="Times New Roman" w:cs="Times New Roman"/>
          <w:sz w:val="24"/>
          <w:szCs w:val="24"/>
          <w:lang w:val="ro-MO"/>
        </w:rPr>
        <w:t>de comun acord cu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dl V</w:t>
      </w:r>
      <w:r w:rsidR="003C0680" w:rsidRPr="00FF1480">
        <w:rPr>
          <w:rFonts w:ascii="Times New Roman" w:hAnsi="Times New Roman" w:cs="Times New Roman"/>
          <w:sz w:val="24"/>
          <w:szCs w:val="24"/>
          <w:lang w:val="ro-MO"/>
        </w:rPr>
        <w:t>a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leriu Boian, medic-șef al Centrului de Sănătate Publică:</w:t>
      </w:r>
    </w:p>
    <w:p w:rsidR="000D62E7" w:rsidRPr="00FF1480" w:rsidRDefault="000D62E7" w:rsidP="009430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vor asigura selectarea şi instruirea cadrelor medicale pentru activitatea în taberele de odihnă;</w:t>
      </w:r>
    </w:p>
    <w:p w:rsidR="000D62E7" w:rsidRPr="00FF1480" w:rsidRDefault="000D62E7" w:rsidP="009430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vor asigura monitorizarea aprovizionării taberelor de odihnă şi întremare a sănătăţii copiilor  cu echipamente medicale şi medicamente necesare conform legislaţiei;</w:t>
      </w:r>
    </w:p>
    <w:p w:rsidR="000D62E7" w:rsidRPr="00FF1480" w:rsidRDefault="000D62E7" w:rsidP="009430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vor efectua supravegherea sanitaro–epidemiologică a acestor unităţi în perioada pregătirii şi funcţionării lor.</w:t>
      </w:r>
    </w:p>
    <w:p w:rsidR="003C0680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8</w:t>
      </w:r>
      <w:r w:rsidR="009430CF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3C0680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Se recomandă dnei Ana Caraman, șef al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Direcți</w:t>
      </w:r>
      <w:r w:rsidR="003C0680" w:rsidRPr="00FF1480">
        <w:rPr>
          <w:rFonts w:ascii="Times New Roman" w:hAnsi="Times New Roman" w:cs="Times New Roman"/>
          <w:sz w:val="24"/>
          <w:szCs w:val="24"/>
          <w:lang w:val="ro-MO"/>
        </w:rPr>
        <w:t>ei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raional</w:t>
      </w:r>
      <w:r w:rsidR="003C0680" w:rsidRPr="00FF1480">
        <w:rPr>
          <w:rFonts w:ascii="Times New Roman" w:hAnsi="Times New Roman" w:cs="Times New Roman"/>
          <w:sz w:val="24"/>
          <w:szCs w:val="24"/>
          <w:lang w:val="ro-MO"/>
        </w:rPr>
        <w:t>e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siguranța alimentelor</w:t>
      </w:r>
      <w:r w:rsidR="003C0680" w:rsidRPr="00FF1480">
        <w:rPr>
          <w:rFonts w:ascii="Times New Roman" w:hAnsi="Times New Roman" w:cs="Times New Roman"/>
          <w:sz w:val="24"/>
          <w:szCs w:val="24"/>
          <w:lang w:val="ro-MO"/>
        </w:rPr>
        <w:t>:</w:t>
      </w:r>
    </w:p>
    <w:p w:rsidR="000D62E7" w:rsidRPr="00FF1480" w:rsidRDefault="003C0680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-</w:t>
      </w:r>
      <w:r w:rsidR="000D62E7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să</w:t>
      </w:r>
      <w:r w:rsidR="000D62E7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monitoriz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eze</w:t>
      </w:r>
      <w:r w:rsidR="000D62E7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calitatea produselor alimentare livrate de agenții economici și corespunderea cu certificatele de conformitate și inofensivitate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0D62E7" w:rsidRPr="00FF1480" w:rsidRDefault="00BA3EBF" w:rsidP="003C0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- </w:t>
      </w:r>
      <w:r w:rsidR="000D62E7" w:rsidRPr="00FF1480">
        <w:rPr>
          <w:rFonts w:ascii="Times New Roman" w:hAnsi="Times New Roman" w:cs="Times New Roman"/>
          <w:sz w:val="24"/>
          <w:szCs w:val="24"/>
          <w:lang w:val="ro-MO"/>
        </w:rPr>
        <w:t>respectarea cerințelor sanitaro-igienice la păstrarea produselor conform actelor normative;</w:t>
      </w:r>
    </w:p>
    <w:p w:rsidR="000D62E7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9. Dna Aurelia Cebotari, şef direcţia asistenţă socială şi protecţia familiei, va asigura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>,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de comun acord cu APL de nivelul I</w:t>
      </w:r>
      <w:r w:rsidR="00BA3EBF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și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II, selectarea copiilor care se vor odihni din sursele</w:t>
      </w:r>
      <w:r w:rsidR="00105A22">
        <w:rPr>
          <w:rFonts w:ascii="Times New Roman" w:hAnsi="Times New Roman" w:cs="Times New Roman"/>
          <w:sz w:val="24"/>
          <w:szCs w:val="24"/>
          <w:lang w:val="ro-MO"/>
        </w:rPr>
        <w:t xml:space="preserve"> financiare alocate din contul C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onsiliului raional conform  prevederilor  pct.5.2 al  prezenței decizii.</w:t>
      </w:r>
    </w:p>
    <w:p w:rsidR="000D62E7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10.Se recomandă:</w:t>
      </w:r>
    </w:p>
    <w:p w:rsidR="000D62E7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10.1 Autorităţilor administraţiei publice locale de nivelul întâi:</w:t>
      </w:r>
    </w:p>
    <w:p w:rsidR="000D62E7" w:rsidRPr="00FF1480" w:rsidRDefault="000D62E7" w:rsidP="009430CF">
      <w:pPr>
        <w:numPr>
          <w:ilvl w:val="0"/>
          <w:numId w:val="4"/>
        </w:numPr>
        <w:tabs>
          <w:tab w:val="clear" w:pos="177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să aloce surse financiare din contul soldului de mijloace băneşti al executării bugetului local pentru procurarea biletelor de odihnă la tabăra „Dumbrava” (conform prevederilor pct. 5.4 al prezentei decizii);</w:t>
      </w:r>
    </w:p>
    <w:p w:rsidR="000D62E7" w:rsidRPr="00FF1480" w:rsidRDefault="000D62E7" w:rsidP="009430CF">
      <w:pPr>
        <w:numPr>
          <w:ilvl w:val="0"/>
          <w:numId w:val="3"/>
        </w:numPr>
        <w:tabs>
          <w:tab w:val="clear" w:pos="177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să contribuie la deplasarea organizată (tur- retur) a copiilor în tabără sub supravegherea unei persoane responsabile;</w:t>
      </w:r>
    </w:p>
    <w:p w:rsidR="000D62E7" w:rsidRPr="00FF1480" w:rsidRDefault="000D62E7" w:rsidP="009430CF">
      <w:pPr>
        <w:numPr>
          <w:ilvl w:val="0"/>
          <w:numId w:val="3"/>
        </w:numPr>
        <w:tabs>
          <w:tab w:val="clear" w:pos="177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sa asigure transferul mijloacelor financiare pentru  procurarea biletelor de odihnă cu 5 zile înainte de începutul fiecărui schimb.</w:t>
      </w:r>
    </w:p>
    <w:p w:rsidR="000D62E7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10.2.</w:t>
      </w:r>
      <w:r w:rsidR="006F1C7B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Dl Andrei Trofimov, şef</w:t>
      </w:r>
      <w:r w:rsidR="006F1C7B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al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Inspectoratul</w:t>
      </w:r>
      <w:r w:rsidR="003F47E9">
        <w:rPr>
          <w:rFonts w:ascii="Times New Roman" w:hAnsi="Times New Roman" w:cs="Times New Roman"/>
          <w:sz w:val="24"/>
          <w:szCs w:val="24"/>
          <w:lang w:val="ro-MO"/>
        </w:rPr>
        <w:t>ui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de poliţie Ştefan Vodă, să asigure ordinea şi securitatea publică în taberele de odihnă şi întremare a sănătăţii copiilor şi adolescenţilor, inclusiv escortarea după necesitate a vehiculelor care vor transporta copiii.</w:t>
      </w:r>
    </w:p>
    <w:p w:rsidR="000D62E7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11. Controlul executării prezentei decizii se </w:t>
      </w:r>
      <w:r w:rsidR="006F1C7B" w:rsidRPr="00FF1480">
        <w:rPr>
          <w:rFonts w:ascii="Times New Roman" w:hAnsi="Times New Roman" w:cs="Times New Roman"/>
          <w:sz w:val="24"/>
          <w:szCs w:val="24"/>
          <w:lang w:val="ro-MO"/>
        </w:rPr>
        <w:t>atribuie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dlui Vasile Gherman, vicepreşedinte</w:t>
      </w:r>
      <w:r w:rsidR="006F1C7B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a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l raionului Ştefan Vodă.</w:t>
      </w:r>
    </w:p>
    <w:p w:rsidR="000D62E7" w:rsidRPr="00FF1480" w:rsidRDefault="000D62E7" w:rsidP="009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12. Prezenta decizie se aduce la cunoştinţă:</w:t>
      </w:r>
    </w:p>
    <w:p w:rsidR="000D62E7" w:rsidRPr="00FF1480" w:rsidRDefault="000D62E7" w:rsidP="006F1C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Oficiul</w:t>
      </w:r>
      <w:r w:rsidR="003F47E9">
        <w:rPr>
          <w:rFonts w:ascii="Times New Roman" w:hAnsi="Times New Roman" w:cs="Times New Roman"/>
          <w:sz w:val="24"/>
          <w:szCs w:val="24"/>
          <w:lang w:val="ro-MO"/>
        </w:rPr>
        <w:t>ui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teritorial Căuşeni al Cancelariei de Stat;</w:t>
      </w:r>
    </w:p>
    <w:p w:rsidR="000D62E7" w:rsidRPr="00FF1480" w:rsidRDefault="000D62E7" w:rsidP="006F1C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Ministerului  Educaţiei</w:t>
      </w:r>
      <w:r w:rsidR="003F47E9">
        <w:rPr>
          <w:rFonts w:ascii="Times New Roman" w:hAnsi="Times New Roman" w:cs="Times New Roman"/>
          <w:sz w:val="24"/>
          <w:szCs w:val="24"/>
          <w:lang w:val="ro-MO"/>
        </w:rPr>
        <w:t>,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Culturii și Cercetării;</w:t>
      </w:r>
    </w:p>
    <w:p w:rsidR="000D62E7" w:rsidRPr="00FF1480" w:rsidRDefault="000D62E7" w:rsidP="006F1C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Ministerului Sănătății, Muncii, Protecţiei Sociale şi Familiei;</w:t>
      </w:r>
    </w:p>
    <w:p w:rsidR="000D62E7" w:rsidRPr="00FF1480" w:rsidRDefault="000D62E7" w:rsidP="006F1C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Serviciilor publice vizate;</w:t>
      </w:r>
    </w:p>
    <w:p w:rsidR="000D62E7" w:rsidRPr="00FF1480" w:rsidRDefault="000D62E7" w:rsidP="006F1C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Instituțiilor de învățământ;</w:t>
      </w:r>
    </w:p>
    <w:p w:rsidR="000D62E7" w:rsidRPr="00FF1480" w:rsidRDefault="000D62E7" w:rsidP="006F1C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Autorităţilor publice locale;</w:t>
      </w:r>
    </w:p>
    <w:p w:rsidR="000D62E7" w:rsidRPr="00FF1480" w:rsidRDefault="000D62E7" w:rsidP="006F1C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Prin publicare pe pagina web a Consiliului raional</w:t>
      </w:r>
      <w:r w:rsidR="006F1C7B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Ștefan Vodă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6F1C7B" w:rsidRPr="00FF1480" w:rsidRDefault="006F1C7B" w:rsidP="006F1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D62E7" w:rsidRPr="00FF1480" w:rsidRDefault="000D62E7" w:rsidP="006F1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 Preşedintele şedinţei                                                                            </w:t>
      </w:r>
    </w:p>
    <w:p w:rsidR="000D62E7" w:rsidRPr="00FF1480" w:rsidRDefault="000D62E7" w:rsidP="006F1C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 xml:space="preserve">    Contrasemnează</w:t>
      </w:r>
    </w:p>
    <w:p w:rsidR="000D62E7" w:rsidRPr="00FF1480" w:rsidRDefault="000D62E7" w:rsidP="006F1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Secretarul Consiliului raional                                                              Ion Ţurcan</w:t>
      </w:r>
    </w:p>
    <w:p w:rsidR="000D62E7" w:rsidRPr="00FF1480" w:rsidRDefault="000D62E7" w:rsidP="006F1C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6F1C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6F1C7B">
      <w:pPr>
        <w:spacing w:after="0" w:line="240" w:lineRule="auto"/>
        <w:rPr>
          <w:rFonts w:ascii="Times New Roman" w:hAnsi="Times New Roman" w:cs="Times New Roman"/>
          <w:lang w:val="ro-MO"/>
        </w:rPr>
      </w:pPr>
    </w:p>
    <w:p w:rsidR="000D62E7" w:rsidRPr="00FF1480" w:rsidRDefault="000D62E7" w:rsidP="00BF5431">
      <w:pPr>
        <w:spacing w:after="0" w:line="240" w:lineRule="auto"/>
        <w:jc w:val="right"/>
        <w:rPr>
          <w:rFonts w:ascii="Times New Roman" w:hAnsi="Times New Roman" w:cs="Times New Roman"/>
          <w:b/>
          <w:lang w:val="ro-MO"/>
        </w:rPr>
      </w:pPr>
      <w:r w:rsidRPr="00FF1480">
        <w:rPr>
          <w:rFonts w:ascii="Times New Roman" w:hAnsi="Times New Roman" w:cs="Times New Roman"/>
          <w:b/>
          <w:lang w:val="ro-MO"/>
        </w:rPr>
        <w:t>Anexa   nr.1</w:t>
      </w:r>
    </w:p>
    <w:p w:rsidR="000D62E7" w:rsidRPr="00FF1480" w:rsidRDefault="000D62E7" w:rsidP="00BF5431">
      <w:pPr>
        <w:spacing w:after="0" w:line="240" w:lineRule="auto"/>
        <w:ind w:left="708"/>
        <w:jc w:val="right"/>
        <w:rPr>
          <w:rFonts w:ascii="Times New Roman" w:hAnsi="Times New Roman" w:cs="Times New Roman"/>
          <w:lang w:val="ro-MO"/>
        </w:rPr>
      </w:pPr>
      <w:r w:rsidRPr="00FF1480">
        <w:rPr>
          <w:rFonts w:ascii="Times New Roman" w:hAnsi="Times New Roman" w:cs="Times New Roman"/>
          <w:lang w:val="ro-MO"/>
        </w:rPr>
        <w:t>la decizia Consiliului raional Ştefan Vodă</w:t>
      </w:r>
    </w:p>
    <w:p w:rsidR="000D62E7" w:rsidRPr="00FF1480" w:rsidRDefault="000D62E7" w:rsidP="00BF5431">
      <w:pPr>
        <w:spacing w:after="0" w:line="240" w:lineRule="auto"/>
        <w:ind w:left="708"/>
        <w:jc w:val="right"/>
        <w:rPr>
          <w:rFonts w:ascii="Times New Roman" w:hAnsi="Times New Roman" w:cs="Times New Roman"/>
          <w:lang w:val="ro-MO"/>
        </w:rPr>
      </w:pPr>
      <w:r w:rsidRPr="00FF1480">
        <w:rPr>
          <w:rFonts w:ascii="Times New Roman" w:hAnsi="Times New Roman" w:cs="Times New Roman"/>
          <w:lang w:val="ro-MO"/>
        </w:rPr>
        <w:t xml:space="preserve">  nr. __</w:t>
      </w:r>
      <w:r w:rsidR="00BF5431" w:rsidRPr="00FF1480">
        <w:rPr>
          <w:rFonts w:ascii="Times New Roman" w:hAnsi="Times New Roman" w:cs="Times New Roman"/>
          <w:lang w:val="ro-MO"/>
        </w:rPr>
        <w:t xml:space="preserve"> din___martie </w:t>
      </w:r>
      <w:r w:rsidRPr="00FF1480">
        <w:rPr>
          <w:rFonts w:ascii="Times New Roman" w:hAnsi="Times New Roman" w:cs="Times New Roman"/>
          <w:lang w:val="ro-MO"/>
        </w:rPr>
        <w:t>2019</w:t>
      </w:r>
    </w:p>
    <w:p w:rsidR="000D62E7" w:rsidRPr="00FF1480" w:rsidRDefault="000D62E7" w:rsidP="00BF5431">
      <w:pPr>
        <w:spacing w:after="0" w:line="240" w:lineRule="auto"/>
        <w:jc w:val="center"/>
        <w:rPr>
          <w:rFonts w:ascii="Times New Roman" w:hAnsi="Times New Roman" w:cs="Times New Roman"/>
          <w:b/>
          <w:lang w:val="ro-MO"/>
        </w:rPr>
      </w:pPr>
      <w:r w:rsidRPr="00FF1480">
        <w:rPr>
          <w:rFonts w:ascii="Times New Roman" w:hAnsi="Times New Roman" w:cs="Times New Roman"/>
          <w:b/>
          <w:lang w:val="ro-MO"/>
        </w:rPr>
        <w:t>Planul de acţiuni</w:t>
      </w:r>
    </w:p>
    <w:p w:rsidR="000D62E7" w:rsidRPr="00FF1480" w:rsidRDefault="000D62E7" w:rsidP="00BF5431">
      <w:pPr>
        <w:spacing w:after="0" w:line="240" w:lineRule="auto"/>
        <w:jc w:val="center"/>
        <w:rPr>
          <w:rFonts w:ascii="Times New Roman" w:hAnsi="Times New Roman" w:cs="Times New Roman"/>
          <w:b/>
          <w:lang w:val="ro-MO"/>
        </w:rPr>
      </w:pPr>
      <w:r w:rsidRPr="00FF1480">
        <w:rPr>
          <w:rFonts w:ascii="Times New Roman" w:hAnsi="Times New Roman" w:cs="Times New Roman"/>
          <w:b/>
          <w:lang w:val="ro-MO"/>
        </w:rPr>
        <w:t>privind organizarea şi desfăşurarea odihnei şi întremării sănătăţii copiilor şi</w:t>
      </w:r>
    </w:p>
    <w:p w:rsidR="000D62E7" w:rsidRPr="00FF1480" w:rsidRDefault="000D62E7" w:rsidP="00BF5431">
      <w:pPr>
        <w:spacing w:after="0" w:line="240" w:lineRule="auto"/>
        <w:jc w:val="center"/>
        <w:rPr>
          <w:rFonts w:ascii="Times New Roman" w:hAnsi="Times New Roman" w:cs="Times New Roman"/>
          <w:b/>
          <w:lang w:val="ro-MO"/>
        </w:rPr>
      </w:pPr>
      <w:r w:rsidRPr="00FF1480">
        <w:rPr>
          <w:rFonts w:ascii="Times New Roman" w:hAnsi="Times New Roman" w:cs="Times New Roman"/>
          <w:b/>
          <w:lang w:val="ro-MO"/>
        </w:rPr>
        <w:t>adolescenţilor în sezonul estival 2019</w:t>
      </w:r>
    </w:p>
    <w:p w:rsidR="00462401" w:rsidRPr="00FF1480" w:rsidRDefault="00462401" w:rsidP="00BF5431">
      <w:pPr>
        <w:spacing w:after="0" w:line="240" w:lineRule="auto"/>
        <w:jc w:val="center"/>
        <w:rPr>
          <w:rFonts w:ascii="Times New Roman" w:hAnsi="Times New Roman" w:cs="Times New Roman"/>
          <w:lang w:val="ro-MO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4"/>
        <w:gridCol w:w="1559"/>
        <w:gridCol w:w="3402"/>
      </w:tblGrid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b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lang w:val="ro-MO"/>
              </w:rPr>
              <w:t>Nr.</w:t>
            </w: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b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lang w:val="ro-MO"/>
              </w:rPr>
              <w:t>Denumirea acţiunilor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b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lang w:val="ro-MO"/>
              </w:rPr>
              <w:t>Termeni de realizare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b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lang w:val="ro-MO"/>
              </w:rPr>
              <w:t>Responsabil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Elaborarea devizului de cheltuieli pentru efectuarea reparaţiei curente a edificiilor taberei.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01 martie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Iurie Afanasiev, şef DCGCD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Efectuarea reparaţiei curente  a taberei.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până la 25 mai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Raisa Burduja, şef DGE, 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Pușcă Andrian, directorul taberei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Desfăşurarea concursului pentru selectarea agentului economic care va efectua reparaţia </w:t>
            </w:r>
            <w:r w:rsidR="00BF5431" w:rsidRPr="00FF1480">
              <w:rPr>
                <w:rFonts w:ascii="Times New Roman" w:hAnsi="Times New Roman" w:cs="Times New Roman"/>
                <w:lang w:val="ro-MO"/>
              </w:rPr>
              <w:t>t</w:t>
            </w:r>
            <w:r w:rsidRPr="00FF1480">
              <w:rPr>
                <w:rFonts w:ascii="Times New Roman" w:hAnsi="Times New Roman" w:cs="Times New Roman"/>
                <w:lang w:val="ro-MO"/>
              </w:rPr>
              <w:t>aberei.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Martie 2019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Raisa Burduja, şef DGE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Desfăşurarea  şedinţei de lucru  cu managerii inst</w:t>
            </w:r>
            <w:r w:rsidR="00BF5431" w:rsidRPr="00FF1480">
              <w:rPr>
                <w:rFonts w:ascii="Times New Roman" w:hAnsi="Times New Roman" w:cs="Times New Roman"/>
                <w:lang w:val="ro-MO"/>
              </w:rPr>
              <w:t>i</w:t>
            </w:r>
            <w:r w:rsidRPr="00FF1480">
              <w:rPr>
                <w:rFonts w:ascii="Times New Roman" w:hAnsi="Times New Roman" w:cs="Times New Roman"/>
                <w:lang w:val="ro-MO"/>
              </w:rPr>
              <w:t>tuţiilor de învăţământ pe problema organizării odihnei și întremării sănătăţii copiilor.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Aprilie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Raisa Burduja,şef DGE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Recepţionarea pregătirii taberei de odih</w:t>
            </w:r>
            <w:r w:rsidR="00BF5431" w:rsidRPr="00FF1480">
              <w:rPr>
                <w:rFonts w:ascii="Times New Roman" w:hAnsi="Times New Roman" w:cs="Times New Roman"/>
                <w:lang w:val="ro-MO"/>
              </w:rPr>
              <w:t>n</w:t>
            </w:r>
            <w:r w:rsidRPr="00FF1480">
              <w:rPr>
                <w:rFonts w:ascii="Times New Roman" w:hAnsi="Times New Roman" w:cs="Times New Roman"/>
                <w:lang w:val="ro-MO"/>
              </w:rPr>
              <w:t>ă ,,Dumbrava”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28 mai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Comisia raională,serviciile abilitate, DGE              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Selectarea şi completarea taberei cu personal didactic, medical şi de deservire.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Pe parcursul lunii mai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Raisa Burduja, 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Pușcă Andrian, directorul taberei 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Desfăşurarea seminarelor de instruire cu toate categoriile de personal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La început de schimb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DGE, CSP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Determinarea categoriilor de copii care se vor odihni din contul bugetului raional şi repartizarea biletelor de odihnă autorităților publice locale de nivelul </w:t>
            </w:r>
            <w:r w:rsidR="00FF1480" w:rsidRPr="00FF1480">
              <w:rPr>
                <w:rFonts w:ascii="Times New Roman" w:hAnsi="Times New Roman" w:cs="Times New Roman"/>
                <w:lang w:val="ro-MO"/>
              </w:rPr>
              <w:t>întâi</w:t>
            </w:r>
            <w:r w:rsidRPr="00FF1480">
              <w:rPr>
                <w:rFonts w:ascii="Times New Roman" w:hAnsi="Times New Roman" w:cs="Times New Roman"/>
                <w:lang w:val="ro-MO"/>
              </w:rPr>
              <w:t>. Comercializarea biletelor de odihnă agenţilor economici,</w:t>
            </w:r>
            <w:r w:rsidR="00462401" w:rsidRPr="00FF1480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F1480">
              <w:rPr>
                <w:rFonts w:ascii="Times New Roman" w:hAnsi="Times New Roman" w:cs="Times New Roman"/>
                <w:lang w:val="ro-MO"/>
              </w:rPr>
              <w:t>persoanelor fizice.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Mai-august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Membri comisiei raionale, DGE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Pregătirea şi desfăşurarea licitaţiei la  selectarea agentului economic care va asigura alimentarea copiilor. 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Aprilie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DGE, Direcția raională siguranță alimentelor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Asigurarea educatorilor cu materiale didactico-metodice,</w:t>
            </w:r>
            <w:r w:rsidR="003F47E9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F1480">
              <w:rPr>
                <w:rFonts w:ascii="Times New Roman" w:hAnsi="Times New Roman" w:cs="Times New Roman"/>
                <w:lang w:val="ro-MO"/>
              </w:rPr>
              <w:t>rechizite de birou necesare, inventar sportiv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05 iunie 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Andrian Pușcă, directorul taberei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Asigurarea taberelor cu medicamente conform cerinţelor.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05 iunie 2019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Andrian Pușcă, directorul taberei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4624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Verificarea condiţiilor de asigurare a securităţii vieţii şi sănătăţii copiilor,</w:t>
            </w:r>
            <w:r w:rsidR="00462401" w:rsidRPr="00FF1480">
              <w:rPr>
                <w:rFonts w:ascii="Times New Roman" w:hAnsi="Times New Roman" w:cs="Times New Roman"/>
                <w:lang w:val="ro-MO"/>
              </w:rPr>
              <w:t xml:space="preserve"> </w:t>
            </w:r>
            <w:r w:rsidRPr="00FF1480">
              <w:rPr>
                <w:rFonts w:ascii="Times New Roman" w:hAnsi="Times New Roman" w:cs="Times New Roman"/>
                <w:lang w:val="ro-MO"/>
              </w:rPr>
              <w:t>de respectare a cerinţelor sanitaro-igienice şi regimul</w:t>
            </w:r>
            <w:r w:rsidR="003F47E9">
              <w:rPr>
                <w:rFonts w:ascii="Times New Roman" w:hAnsi="Times New Roman" w:cs="Times New Roman"/>
                <w:lang w:val="ro-MO"/>
              </w:rPr>
              <w:t>ui</w:t>
            </w:r>
            <w:r w:rsidRPr="00FF1480">
              <w:rPr>
                <w:rFonts w:ascii="Times New Roman" w:hAnsi="Times New Roman" w:cs="Times New Roman"/>
                <w:lang w:val="ro-MO"/>
              </w:rPr>
              <w:t xml:space="preserve"> de alimentaţie.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În decursul sezonului estival,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Comisia raională,                             serviciile abilitate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Asigurarea respectării prevederilor ordinului ME nr. 77 din 22.02.2013 (organizarea activităţilor de prevenire a violenţei faţă de copii, abuz sau neglijare).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Pe parcursul sezonului estival,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Educatorii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DGE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Directorul taberei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Monitorizarea aprovizionării taberelor cu  medicamente necesare, supravegherea situaţiei sanitaro-epidemiologice în perioada pregătirii şi funcţionării taberelor de odihnă.     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Pe parcursul sezonului estival, 2019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CSP, DRSA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Încheierea contractelor cu  agenţi  economici ce deservesc tabăra de odihnă„Dumbrava”.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15 mai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DGE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Acordarea ajutorului practic la  organizarea odihnei şi întremării sănătăţii copiilor.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Pe perioada funcţionării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Comisia raională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1953C8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Monitorizarea desfășurării odih</w:t>
            </w:r>
            <w:r w:rsidR="001953C8" w:rsidRPr="00FF1480">
              <w:rPr>
                <w:rFonts w:ascii="Times New Roman" w:hAnsi="Times New Roman" w:cs="Times New Roman"/>
                <w:lang w:val="ro-MO"/>
              </w:rPr>
              <w:t>n</w:t>
            </w:r>
            <w:r w:rsidRPr="00FF1480">
              <w:rPr>
                <w:rFonts w:ascii="Times New Roman" w:hAnsi="Times New Roman" w:cs="Times New Roman"/>
                <w:lang w:val="ro-MO"/>
              </w:rPr>
              <w:t>ei și întremării sănătății  copiilor și adolescenților în conformitate cu Programul de  organizare a odihnei copiilor din raion în sezonul estival 2019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Pe parcursul sezonului estival, 2019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EE428B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Organizarea  înt</w:t>
            </w:r>
            <w:r w:rsidR="00EE428B" w:rsidRPr="00FF1480">
              <w:rPr>
                <w:rFonts w:ascii="Times New Roman" w:hAnsi="Times New Roman" w:cs="Times New Roman"/>
                <w:lang w:val="ro-MO"/>
              </w:rPr>
              <w:t>â</w:t>
            </w:r>
            <w:r w:rsidRPr="00FF1480">
              <w:rPr>
                <w:rFonts w:ascii="Times New Roman" w:hAnsi="Times New Roman" w:cs="Times New Roman"/>
                <w:lang w:val="ro-MO"/>
              </w:rPr>
              <w:t>lnirii copiilor cu colaboratorii IPR, a inspectoratului național  de patrulare, biroului siguranță copii, Serviciul Situațiilor Excepționale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Pe perioada funcţionării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Andrian Pușcă, directorul taberei serviciile  abilitate </w:t>
            </w:r>
          </w:p>
        </w:tc>
      </w:tr>
      <w:tr w:rsidR="000D62E7" w:rsidRPr="00FF1480" w:rsidTr="00BF5431">
        <w:tc>
          <w:tcPr>
            <w:tcW w:w="567" w:type="dxa"/>
            <w:shd w:val="clear" w:color="auto" w:fill="auto"/>
          </w:tcPr>
          <w:p w:rsidR="000D62E7" w:rsidRPr="00FF1480" w:rsidRDefault="000D62E7" w:rsidP="00BF54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5104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Totalurile desfășurării odihnei de vară a copiilor. </w:t>
            </w:r>
          </w:p>
        </w:tc>
        <w:tc>
          <w:tcPr>
            <w:tcW w:w="1559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 xml:space="preserve">Către </w:t>
            </w:r>
          </w:p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31 august 2019</w:t>
            </w:r>
          </w:p>
        </w:tc>
        <w:tc>
          <w:tcPr>
            <w:tcW w:w="3402" w:type="dxa"/>
            <w:shd w:val="clear" w:color="auto" w:fill="auto"/>
          </w:tcPr>
          <w:p w:rsidR="000D62E7" w:rsidRPr="00FF1480" w:rsidRDefault="000D62E7" w:rsidP="00BF5431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  <w:r w:rsidRPr="00FF1480">
              <w:rPr>
                <w:rFonts w:ascii="Times New Roman" w:hAnsi="Times New Roman" w:cs="Times New Roman"/>
                <w:lang w:val="ro-MO"/>
              </w:rPr>
              <w:t>Comisia raională</w:t>
            </w:r>
          </w:p>
        </w:tc>
      </w:tr>
    </w:tbl>
    <w:p w:rsidR="000D62E7" w:rsidRPr="00FF1480" w:rsidRDefault="000D62E7" w:rsidP="00BF5431">
      <w:pPr>
        <w:spacing w:after="0" w:line="240" w:lineRule="auto"/>
        <w:jc w:val="right"/>
        <w:outlineLvl w:val="0"/>
        <w:rPr>
          <w:rFonts w:ascii="Times New Roman" w:hAnsi="Times New Roman" w:cs="Times New Roman"/>
          <w:lang w:val="ro-MO"/>
        </w:rPr>
      </w:pPr>
    </w:p>
    <w:p w:rsidR="000D62E7" w:rsidRPr="00FF1480" w:rsidRDefault="000D62E7" w:rsidP="00BF543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ro-MO"/>
        </w:rPr>
      </w:pPr>
    </w:p>
    <w:p w:rsidR="003776AF" w:rsidRPr="00FF1480" w:rsidRDefault="003776AF" w:rsidP="003776A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D62E7" w:rsidRPr="00FF1480" w:rsidRDefault="000D62E7" w:rsidP="003776A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Anexa nr.2</w:t>
      </w:r>
    </w:p>
    <w:p w:rsidR="000D62E7" w:rsidRPr="00FF1480" w:rsidRDefault="000D62E7" w:rsidP="00FF1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la decizia Consiliului raional Ştefan Vodă</w:t>
      </w:r>
    </w:p>
    <w:p w:rsidR="000D62E7" w:rsidRPr="00FF1480" w:rsidRDefault="000D62E7" w:rsidP="003776A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nr._____________________2019</w:t>
      </w:r>
    </w:p>
    <w:p w:rsidR="000D62E7" w:rsidRPr="00FF1480" w:rsidRDefault="000D62E7" w:rsidP="003776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Componenţa nominală a Comisiei raionale </w:t>
      </w:r>
    </w:p>
    <w:p w:rsidR="000D62E7" w:rsidRPr="00FF1480" w:rsidRDefault="000D62E7" w:rsidP="00A81B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pentru organizarea odihnei şi întremării sănătăţii copiilor şi adolescenţilor</w:t>
      </w:r>
    </w:p>
    <w:p w:rsidR="000D62E7" w:rsidRPr="00FF1480" w:rsidRDefault="000D62E7" w:rsidP="00A81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în sezonul estival 2019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Vasile Gherman,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vicepreşedintele raionului, 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preşedintele comisiei;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Burduja Raisa,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şef, direcţia generală educație , 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vicepreşedintele comisiei;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Guzgan Svetlana,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metodist, direcţia generală educație, </w:t>
      </w: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secretarul comisiei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, consilier raional: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i/>
          <w:sz w:val="24"/>
          <w:szCs w:val="24"/>
          <w:lang w:val="ro-MO"/>
        </w:rPr>
        <w:t>Membri: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C</w:t>
      </w:r>
      <w:r w:rsidR="001922AA" w:rsidRPr="00FF1480">
        <w:rPr>
          <w:rFonts w:ascii="Times New Roman" w:hAnsi="Times New Roman" w:cs="Times New Roman"/>
          <w:b/>
          <w:sz w:val="24"/>
          <w:szCs w:val="24"/>
          <w:lang w:val="ro-MO"/>
        </w:rPr>
        <w:t>i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botari Auri</w:t>
      </w:r>
      <w:r w:rsidR="001922AA" w:rsidRPr="00FF1480">
        <w:rPr>
          <w:rFonts w:ascii="Times New Roman" w:hAnsi="Times New Roman" w:cs="Times New Roman"/>
          <w:b/>
          <w:sz w:val="24"/>
          <w:szCs w:val="24"/>
          <w:lang w:val="ro-MO"/>
        </w:rPr>
        <w:t>c</w:t>
      </w: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a,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sef, direcţia asistenţă socială şi protecţia familiei,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Boian Valeriu,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medic şef CSP</w:t>
      </w:r>
      <w:r w:rsidR="009E40B0"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Ștefan Vodă;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Țîbîrnac Ion,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șef, IMSP Centru de sănătate Talmaza.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Lutenco Vinidict, 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preşedinte al Consiliului interramural teritorial al sindicatelor Ștefan Vodă.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Trofimov Andrei, </w:t>
      </w:r>
      <w:r w:rsidR="00EB3FC9" w:rsidRPr="00FF1480">
        <w:rPr>
          <w:rFonts w:ascii="Times New Roman" w:hAnsi="Times New Roman" w:cs="Times New Roman"/>
          <w:sz w:val="24"/>
          <w:szCs w:val="24"/>
          <w:lang w:val="ro-MO"/>
        </w:rPr>
        <w:t>șef, Inspectoratul de poliție Ștefan Vodă;</w:t>
      </w:r>
    </w:p>
    <w:p w:rsidR="000D62E7" w:rsidRPr="00FF1480" w:rsidRDefault="00FF1480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Caraman</w:t>
      </w:r>
      <w:r w:rsidR="000D62E7"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 Ana –  </w:t>
      </w:r>
      <w:r w:rsidR="000D62E7" w:rsidRPr="00FF1480">
        <w:rPr>
          <w:rFonts w:ascii="Times New Roman" w:hAnsi="Times New Roman" w:cs="Times New Roman"/>
          <w:sz w:val="24"/>
          <w:szCs w:val="24"/>
          <w:lang w:val="ro-MO"/>
        </w:rPr>
        <w:t>medic</w:t>
      </w:r>
      <w:r w:rsidR="000D62E7" w:rsidRPr="00FF1480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r w:rsidR="000D62E7" w:rsidRPr="00FF1480">
        <w:rPr>
          <w:rFonts w:ascii="Times New Roman" w:hAnsi="Times New Roman" w:cs="Times New Roman"/>
          <w:sz w:val="24"/>
          <w:szCs w:val="24"/>
          <w:lang w:val="ro-MO"/>
        </w:rPr>
        <w:t>șef, Direcția raională  siguranță alimentelor.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875C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MO"/>
        </w:rPr>
      </w:pPr>
      <w:bookmarkStart w:id="0" w:name="_GoBack"/>
      <w:bookmarkEnd w:id="0"/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Anexa nr. 3</w:t>
      </w:r>
    </w:p>
    <w:p w:rsidR="000D62E7" w:rsidRPr="00FF1480" w:rsidRDefault="000D62E7" w:rsidP="00875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la decizia Consiliului raional Ştefan Vodă</w:t>
      </w:r>
    </w:p>
    <w:p w:rsidR="000D62E7" w:rsidRPr="00FF1480" w:rsidRDefault="000D62E7" w:rsidP="00875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nr.____________________2019</w:t>
      </w:r>
    </w:p>
    <w:p w:rsidR="000D62E7" w:rsidRPr="00FF1480" w:rsidRDefault="000D62E7" w:rsidP="00A81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Perioada</w:t>
      </w:r>
    </w:p>
    <w:p w:rsidR="000D62E7" w:rsidRPr="00FF1480" w:rsidRDefault="000D62E7" w:rsidP="00A81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activităţii taberei de odihnă pentru copii şi</w:t>
      </w:r>
    </w:p>
    <w:p w:rsidR="000D62E7" w:rsidRPr="00FF1480" w:rsidRDefault="000D62E7" w:rsidP="00A81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sz w:val="24"/>
          <w:szCs w:val="24"/>
          <w:lang w:val="ro-MO"/>
        </w:rPr>
        <w:t>adolescenţi „Dumbrava” în sezonul estival 2019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i/>
          <w:sz w:val="24"/>
          <w:szCs w:val="24"/>
          <w:lang w:val="ro-MO"/>
        </w:rPr>
        <w:t>Schimbul 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      de la  07 iunie   până   la 17 iunie 2019</w:t>
      </w: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i/>
          <w:sz w:val="24"/>
          <w:szCs w:val="24"/>
          <w:lang w:val="ro-MO"/>
        </w:rPr>
        <w:t>Schimbul II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    de la  19 iunie   până   la 29 iunie 2019</w:t>
      </w: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i/>
          <w:sz w:val="24"/>
          <w:szCs w:val="24"/>
          <w:lang w:val="ro-MO"/>
        </w:rPr>
        <w:t>Schimbul III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   de la  01 iulie   până   la 11 iulie 2019</w:t>
      </w:r>
    </w:p>
    <w:p w:rsidR="000D62E7" w:rsidRPr="00FF1480" w:rsidRDefault="000D62E7" w:rsidP="00EB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i/>
          <w:sz w:val="24"/>
          <w:szCs w:val="24"/>
          <w:lang w:val="ro-MO"/>
        </w:rPr>
        <w:t>Schimbul IV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   de la  14 iulie până   la 24 iulie 2019 </w:t>
      </w: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i/>
          <w:sz w:val="24"/>
          <w:szCs w:val="24"/>
          <w:lang w:val="ro-MO"/>
        </w:rPr>
        <w:t>Schimbul V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    de la  26 iulie  până la 05 august 2019</w:t>
      </w:r>
    </w:p>
    <w:p w:rsidR="000D62E7" w:rsidRPr="00FF1480" w:rsidRDefault="000D62E7" w:rsidP="00A81B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b/>
          <w:i/>
          <w:sz w:val="24"/>
          <w:szCs w:val="24"/>
          <w:lang w:val="ro-MO"/>
        </w:rPr>
        <w:t>Schimbul VI</w:t>
      </w:r>
      <w:r w:rsidRPr="00FF1480">
        <w:rPr>
          <w:rFonts w:ascii="Times New Roman" w:hAnsi="Times New Roman" w:cs="Times New Roman"/>
          <w:sz w:val="24"/>
          <w:szCs w:val="24"/>
          <w:lang w:val="ro-MO"/>
        </w:rPr>
        <w:t xml:space="preserve">    de la  07 august până   la 17 august 2019 </w:t>
      </w: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0D62E7" w:rsidRPr="00FF1480" w:rsidRDefault="000D62E7" w:rsidP="00A81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875C1A" w:rsidRPr="00FF1480" w:rsidRDefault="00FF1480" w:rsidP="00875C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>A</w:t>
      </w:r>
      <w:r w:rsidR="00875C1A" w:rsidRPr="00FF1480">
        <w:rPr>
          <w:rFonts w:ascii="Times New Roman" w:hAnsi="Times New Roman" w:cs="Times New Roman"/>
          <w:b/>
          <w:sz w:val="24"/>
          <w:szCs w:val="24"/>
          <w:lang w:val="ro-MO"/>
        </w:rPr>
        <w:t>nexa nr. 4</w:t>
      </w:r>
    </w:p>
    <w:p w:rsidR="00875C1A" w:rsidRPr="00FF1480" w:rsidRDefault="00875C1A" w:rsidP="00875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la decizia Consiliului raional Ştefan Vodă</w:t>
      </w:r>
    </w:p>
    <w:p w:rsidR="00875C1A" w:rsidRPr="00FF1480" w:rsidRDefault="00875C1A" w:rsidP="00875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FF1480">
        <w:rPr>
          <w:rFonts w:ascii="Times New Roman" w:hAnsi="Times New Roman" w:cs="Times New Roman"/>
          <w:sz w:val="24"/>
          <w:szCs w:val="24"/>
          <w:lang w:val="ro-MO"/>
        </w:rPr>
        <w:t>nr.___ din ____ martie 2019</w:t>
      </w:r>
    </w:p>
    <w:p w:rsidR="00875C1A" w:rsidRPr="00FF1480" w:rsidRDefault="00875C1A" w:rsidP="00A81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tbl>
      <w:tblPr>
        <w:tblW w:w="1075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4"/>
        <w:gridCol w:w="1502"/>
        <w:gridCol w:w="473"/>
        <w:gridCol w:w="650"/>
        <w:gridCol w:w="485"/>
        <w:gridCol w:w="545"/>
        <w:gridCol w:w="557"/>
        <w:gridCol w:w="532"/>
        <w:gridCol w:w="509"/>
        <w:gridCol w:w="687"/>
        <w:gridCol w:w="888"/>
        <w:gridCol w:w="840"/>
        <w:gridCol w:w="1324"/>
        <w:gridCol w:w="1361"/>
      </w:tblGrid>
      <w:tr w:rsidR="003976F2" w:rsidRPr="00FF1480" w:rsidTr="00C06512">
        <w:trPr>
          <w:trHeight w:val="314"/>
        </w:trPr>
        <w:tc>
          <w:tcPr>
            <w:tcW w:w="10757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2346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 xml:space="preserve">Devizul de cheltuieli pentru un schimb la organizarea </w:t>
            </w:r>
          </w:p>
          <w:p w:rsidR="003976F2" w:rsidRPr="00FF1480" w:rsidRDefault="003976F2" w:rsidP="00E3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 xml:space="preserve">odihnei şi întremării sănătăţii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>copiilor</w:t>
            </w:r>
            <w:r w:rsid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 xml:space="preserve">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>şi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 xml:space="preserve">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>adolescenţilor</w:t>
            </w:r>
            <w:r w:rsid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 xml:space="preserve">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>în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 xml:space="preserve"> tabăra "Dumbrava", </w:t>
            </w:r>
            <w:r w:rsidR="00E32346"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>s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O"/>
              </w:rPr>
              <w:t>ezonul estival anul 2019</w:t>
            </w:r>
          </w:p>
        </w:tc>
      </w:tr>
      <w:tr w:rsidR="003976F2" w:rsidRPr="00FF1480" w:rsidTr="00C06512">
        <w:trPr>
          <w:trHeight w:val="158"/>
        </w:trPr>
        <w:tc>
          <w:tcPr>
            <w:tcW w:w="35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  <w:t>Numărul de copii-120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MO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MO"/>
              </w:rPr>
            </w:pPr>
          </w:p>
        </w:tc>
      </w:tr>
      <w:tr w:rsidR="003976F2" w:rsidRPr="00FF1480" w:rsidTr="00C06512">
        <w:trPr>
          <w:trHeight w:val="247"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6F2" w:rsidRPr="00FF1480" w:rsidRDefault="003976F2" w:rsidP="00C0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  <w:t>Numărul de zile  - 10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</w:tr>
      <w:tr w:rsidR="003976F2" w:rsidRPr="00FF1480" w:rsidTr="00C06512">
        <w:trPr>
          <w:trHeight w:val="247"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  <w:t>Numărul de zile copii - 1200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</w:tr>
      <w:tr w:rsidR="003976F2" w:rsidRPr="00FF1480" w:rsidTr="00C06512">
        <w:trPr>
          <w:trHeight w:val="247"/>
        </w:trPr>
        <w:tc>
          <w:tcPr>
            <w:tcW w:w="35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  <w:t>Preţul unei foi de odihnă - 1375 lei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</w:tr>
      <w:tr w:rsidR="003976F2" w:rsidRPr="00FF1480" w:rsidTr="00C06512">
        <w:trPr>
          <w:trHeight w:val="247"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  <w:t>Total cheltuieli - 164897,96 lei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o-MO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MO"/>
              </w:rPr>
            </w:pPr>
          </w:p>
        </w:tc>
      </w:tr>
      <w:tr w:rsidR="003976F2" w:rsidRPr="00FF1480" w:rsidTr="00875C1A">
        <w:trPr>
          <w:trHeight w:val="762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Nr. d/o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Indicii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Unităţi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Codul </w:t>
            </w:r>
            <w:r w:rsid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f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unctiei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Treapta de salarizare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Clasa </w:t>
            </w:r>
            <w:r w:rsid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funcț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iei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Clasa cumulativa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Coeficientul 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Valoarea de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referin</w:t>
            </w:r>
            <w:r w:rsid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ță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Salariul  de baza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Lunar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Lucrul nociv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Total lunar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Total  pentru       10 zile ( lei )</w:t>
            </w:r>
          </w:p>
        </w:tc>
      </w:tr>
      <w:tr w:rsidR="003976F2" w:rsidRPr="00FF1480" w:rsidTr="00875C1A">
        <w:trPr>
          <w:trHeight w:val="249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 w:rsidP="00875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Antrenor</w:t>
            </w:r>
            <w:r w:rsidR="00875C1A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,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ed</w:t>
            </w:r>
            <w:r w:rsidR="00875C1A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ucație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fizică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E4020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2,9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1578,23</w:t>
            </w:r>
          </w:p>
        </w:tc>
      </w:tr>
      <w:tr w:rsidR="003976F2" w:rsidRPr="00FF1480" w:rsidTr="00875C1A">
        <w:trPr>
          <w:trHeight w:val="241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2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Educatori    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E4020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2,9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55680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55680,00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18938,78</w:t>
            </w:r>
          </w:p>
        </w:tc>
      </w:tr>
      <w:tr w:rsidR="003976F2" w:rsidRPr="00FF1480" w:rsidTr="00875C1A">
        <w:trPr>
          <w:trHeight w:val="232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lastRenderedPageBreak/>
              <w:t>3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Educator de schimb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E4020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2,9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9280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9280,00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3156,46</w:t>
            </w:r>
          </w:p>
        </w:tc>
      </w:tr>
      <w:tr w:rsidR="003976F2" w:rsidRPr="00FF1480" w:rsidTr="00875C1A">
        <w:trPr>
          <w:trHeight w:val="81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4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Acompaniator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E4020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2,9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1578,23</w:t>
            </w:r>
          </w:p>
        </w:tc>
      </w:tr>
      <w:tr w:rsidR="003976F2" w:rsidRPr="00FF1480" w:rsidTr="00875C1A">
        <w:trPr>
          <w:trHeight w:val="269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5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 w:rsidP="00875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Conducător de cerc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E4020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2,9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6960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6960,00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2367,35</w:t>
            </w:r>
          </w:p>
        </w:tc>
      </w:tr>
      <w:tr w:rsidR="003976F2" w:rsidRPr="00FF1480" w:rsidTr="00875C1A">
        <w:trPr>
          <w:trHeight w:val="106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6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 w:rsidP="00875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Inst</w:t>
            </w:r>
            <w:r w:rsidR="00875C1A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ructor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metodist turism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E4020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52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2,9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4640,00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1578,23</w:t>
            </w:r>
          </w:p>
        </w:tc>
      </w:tr>
      <w:tr w:rsidR="003976F2" w:rsidRPr="00FF1480" w:rsidTr="00875C1A">
        <w:trPr>
          <w:trHeight w:val="97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7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Medic categ</w:t>
            </w:r>
            <w:r w:rsidR="00875C1A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orie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super</w:t>
            </w:r>
            <w:r w:rsidR="00875C1A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ioară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G6006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72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72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4,41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6620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6620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6620,00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2251,70</w:t>
            </w:r>
          </w:p>
        </w:tc>
      </w:tr>
      <w:tr w:rsidR="003976F2" w:rsidRPr="00FF1480" w:rsidTr="00875C1A">
        <w:trPr>
          <w:trHeight w:val="271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8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 w:rsidP="00E3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Sora medicală cat</w:t>
            </w:r>
            <w:r w:rsidR="00E32346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. 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sup</w:t>
            </w:r>
            <w:r w:rsidR="00E32346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erioară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G6027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2,56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3840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3840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100,00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3940,00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1340,14</w:t>
            </w:r>
          </w:p>
        </w:tc>
      </w:tr>
      <w:tr w:rsidR="003976F2" w:rsidRPr="00FF1480" w:rsidTr="00875C1A">
        <w:trPr>
          <w:trHeight w:val="25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9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FF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Infirmieră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G6041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1,69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2540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2540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100,00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2640,00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897,96</w:t>
            </w:r>
          </w:p>
        </w:tc>
      </w:tr>
      <w:tr w:rsidR="003976F2" w:rsidRPr="00FF1480" w:rsidTr="00875C1A">
        <w:trPr>
          <w:trHeight w:val="125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10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 w:rsidP="00E3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Şef</w:t>
            </w:r>
            <w:r w:rsidR="00E32346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gospodărie (pentru 6 luni )  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H6077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2,46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3690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3690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3690,00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1255,10</w:t>
            </w:r>
          </w:p>
        </w:tc>
      </w:tr>
      <w:tr w:rsidR="003976F2" w:rsidRPr="00FF1480" w:rsidTr="00875C1A">
        <w:trPr>
          <w:trHeight w:val="245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11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FF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Lenjereasa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H6185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1,11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1780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1780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120,00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1900,00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646,26</w:t>
            </w:r>
          </w:p>
        </w:tc>
      </w:tr>
      <w:tr w:rsidR="003976F2" w:rsidRPr="00FF1480" w:rsidTr="00875C1A">
        <w:trPr>
          <w:trHeight w:val="107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12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Bucătar – şef 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1,91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1500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2870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2870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140,00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3010,00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1023,81</w:t>
            </w:r>
          </w:p>
        </w:tc>
      </w:tr>
      <w:tr w:rsidR="003976F2" w:rsidRPr="00FF1480" w:rsidTr="00875C1A">
        <w:trPr>
          <w:trHeight w:val="153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13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Bucătar 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H6147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1,62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2600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2600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140,00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2740,00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931,97</w:t>
            </w:r>
          </w:p>
        </w:tc>
      </w:tr>
      <w:tr w:rsidR="003976F2" w:rsidRPr="00FF1480" w:rsidTr="00875C1A">
        <w:trPr>
          <w:trHeight w:val="199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14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FF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Bucătar</w:t>
            </w:r>
            <w:r w:rsidR="003976F2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auxiliar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H6178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9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1,18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1890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3780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280,00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4060,00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1380,95</w:t>
            </w:r>
          </w:p>
        </w:tc>
      </w:tr>
      <w:tr w:rsidR="003976F2" w:rsidRPr="00FF1480" w:rsidTr="00875C1A">
        <w:trPr>
          <w:trHeight w:val="246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15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Spălătorese 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H6185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1,18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1890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3780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240,00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4020,00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1367,35</w:t>
            </w:r>
          </w:p>
        </w:tc>
      </w:tr>
      <w:tr w:rsidR="003976F2" w:rsidRPr="00FF1480" w:rsidTr="00875C1A">
        <w:trPr>
          <w:trHeight w:val="249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16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Îngrijitori de încăperi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H6185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1,18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1890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7560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400,00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7960,00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2707,48</w:t>
            </w:r>
          </w:p>
        </w:tc>
      </w:tr>
      <w:tr w:rsidR="003976F2" w:rsidRPr="00FF1480" w:rsidTr="00875C1A">
        <w:trPr>
          <w:trHeight w:val="10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17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Electrician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H6158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1,62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2600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2600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120,00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2720,00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925,17</w:t>
            </w:r>
          </w:p>
        </w:tc>
      </w:tr>
      <w:tr w:rsidR="003976F2" w:rsidRPr="00FF1480" w:rsidTr="00C06512">
        <w:trPr>
          <w:trHeight w:val="49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  <w:t>18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 w:rsidP="00E3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Muncitor deservirea utilajului (santeh.)</w:t>
            </w:r>
            <w:r w:rsidR="00E32346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6luni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H6177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1,21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1600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1940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1940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120,00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2060,00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700,68</w:t>
            </w:r>
          </w:p>
        </w:tc>
      </w:tr>
      <w:tr w:rsidR="003976F2" w:rsidRPr="00FF1480" w:rsidTr="00875C1A">
        <w:trPr>
          <w:trHeight w:val="5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TOTAL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35,5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129440,00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1760,00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131200,00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44625,85</w:t>
            </w:r>
          </w:p>
        </w:tc>
      </w:tr>
      <w:tr w:rsidR="003976F2" w:rsidRPr="00FF1480" w:rsidTr="00C06512">
        <w:trPr>
          <w:trHeight w:val="262"/>
        </w:trPr>
        <w:tc>
          <w:tcPr>
            <w:tcW w:w="7232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211180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Remunerarea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muncii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angajaților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conform statelor      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44625,85</w:t>
            </w:r>
          </w:p>
        </w:tc>
      </w:tr>
      <w:tr w:rsidR="003976F2" w:rsidRPr="00FF1480" w:rsidTr="00C06512">
        <w:trPr>
          <w:trHeight w:val="262"/>
        </w:trPr>
        <w:tc>
          <w:tcPr>
            <w:tcW w:w="8072" w:type="dxa"/>
            <w:gridSpan w:val="1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212100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Contribuții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de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asigurări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sociale de stat obligatorii  ( 23% )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10263,95</w:t>
            </w:r>
          </w:p>
        </w:tc>
      </w:tr>
      <w:tr w:rsidR="003976F2" w:rsidRPr="00FF1480" w:rsidTr="00C06512">
        <w:trPr>
          <w:trHeight w:val="228"/>
        </w:trPr>
        <w:tc>
          <w:tcPr>
            <w:tcW w:w="9396" w:type="dxa"/>
            <w:gridSpan w:val="1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 w:rsidP="00E3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212210 Prime de asigurare obligatorie de asistenta medicala achitate de angajatori pe teritoriul tarii ( 4,5 %)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2008,16</w:t>
            </w:r>
          </w:p>
        </w:tc>
      </w:tr>
      <w:tr w:rsidR="003976F2" w:rsidRPr="00FF1480" w:rsidTr="00C06512">
        <w:trPr>
          <w:trHeight w:val="228"/>
        </w:trPr>
        <w:tc>
          <w:tcPr>
            <w:tcW w:w="40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</w:tr>
      <w:tr w:rsidR="003976F2" w:rsidRPr="00FF1480" w:rsidTr="00C06512">
        <w:trPr>
          <w:trHeight w:val="18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o-MO"/>
              </w:rPr>
            </w:pPr>
          </w:p>
        </w:tc>
      </w:tr>
      <w:tr w:rsidR="003976F2" w:rsidRPr="00FF1480" w:rsidTr="00C06512">
        <w:trPr>
          <w:trHeight w:val="228"/>
        </w:trPr>
        <w:tc>
          <w:tcPr>
            <w:tcW w:w="807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       333110 procurarea produselor alimentare ( 85 lei x 120 copii x 10 zile   )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102000</w:t>
            </w:r>
          </w:p>
        </w:tc>
      </w:tr>
      <w:tr w:rsidR="003976F2" w:rsidRPr="00FF1480" w:rsidTr="00C06512">
        <w:trPr>
          <w:trHeight w:val="228"/>
        </w:trPr>
        <w:tc>
          <w:tcPr>
            <w:tcW w:w="93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        334110 procurarea medicamentelor si materialelor sanitare ( 10 lei x 120 copii  )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1200</w:t>
            </w:r>
          </w:p>
        </w:tc>
      </w:tr>
      <w:tr w:rsidR="003976F2" w:rsidRPr="00FF1480" w:rsidTr="00C06512">
        <w:trPr>
          <w:trHeight w:val="228"/>
        </w:trPr>
        <w:tc>
          <w:tcPr>
            <w:tcW w:w="93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        222990 Servicii neatribuite altor aliniate (Masuri distractiv educative si sportive - 20 lei x 120 copii  )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2400</w:t>
            </w:r>
          </w:p>
        </w:tc>
      </w:tr>
      <w:tr w:rsidR="003976F2" w:rsidRPr="00FF1480" w:rsidTr="00C06512">
        <w:trPr>
          <w:trHeight w:val="228"/>
        </w:trPr>
        <w:tc>
          <w:tcPr>
            <w:tcW w:w="93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        336110 procurarea materialelor de uz </w:t>
            </w:r>
            <w:r w:rsidR="00FF1480"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>gospodăresc</w:t>
            </w: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si rechizite de birou  (20 lei x 120 copii     )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2400</w:t>
            </w:r>
          </w:p>
        </w:tc>
      </w:tr>
      <w:tr w:rsidR="003976F2" w:rsidRPr="00FF1480" w:rsidTr="00C06512">
        <w:trPr>
          <w:trHeight w:val="228"/>
        </w:trPr>
        <w:tc>
          <w:tcPr>
            <w:tcW w:w="807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  <w:t xml:space="preserve">     TOTAL                                                                                                    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6F2" w:rsidRPr="00FF1480" w:rsidRDefault="003976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</w:pPr>
            <w:r w:rsidRPr="00FF14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MO"/>
              </w:rPr>
              <w:t>164897,96</w:t>
            </w:r>
          </w:p>
        </w:tc>
      </w:tr>
    </w:tbl>
    <w:p w:rsidR="003976F2" w:rsidRPr="00FF1480" w:rsidRDefault="003976F2" w:rsidP="00A81B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O"/>
        </w:rPr>
      </w:pPr>
    </w:p>
    <w:sectPr w:rsidR="003976F2" w:rsidRPr="00FF1480" w:rsidSect="006F1C7B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B7F"/>
    <w:multiLevelType w:val="multilevel"/>
    <w:tmpl w:val="28F83488"/>
    <w:lvl w:ilvl="0">
      <w:start w:val="19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Calibri" w:hAnsi="Symbol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496"/>
        </w:tabs>
        <w:ind w:left="2496" w:hanging="720"/>
      </w:pPr>
      <w:rPr>
        <w:rFonts w:hint="default"/>
        <w:b/>
        <w:i w:val="0"/>
      </w:rPr>
    </w:lvl>
    <w:lvl w:ilvl="2">
      <w:start w:val="19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eastAsia="Calibri" w:hAnsi="Symbol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296"/>
        </w:tabs>
        <w:ind w:left="429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5016"/>
        </w:tabs>
        <w:ind w:left="50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6096"/>
        </w:tabs>
        <w:ind w:left="6096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7176"/>
        </w:tabs>
        <w:ind w:left="717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896"/>
        </w:tabs>
        <w:ind w:left="789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  <w:i w:val="0"/>
      </w:rPr>
    </w:lvl>
  </w:abstractNum>
  <w:abstractNum w:abstractNumId="1">
    <w:nsid w:val="381C3C91"/>
    <w:multiLevelType w:val="hybridMultilevel"/>
    <w:tmpl w:val="9CD8A498"/>
    <w:lvl w:ilvl="0" w:tplc="FDFA2AA6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BB66E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D63D7"/>
    <w:multiLevelType w:val="hybridMultilevel"/>
    <w:tmpl w:val="D6A61948"/>
    <w:lvl w:ilvl="0" w:tplc="FDFA2AA6">
      <w:start w:val="19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Calibri" w:hAnsi="Symbol" w:cs="Times New Roman" w:hint="default"/>
        <w:color w:val="auto"/>
      </w:rPr>
    </w:lvl>
    <w:lvl w:ilvl="1" w:tplc="BB66EE8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4D02DAD"/>
    <w:multiLevelType w:val="hybridMultilevel"/>
    <w:tmpl w:val="08D2DF22"/>
    <w:lvl w:ilvl="0" w:tplc="FDFA2AA6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D1731"/>
    <w:multiLevelType w:val="hybridMultilevel"/>
    <w:tmpl w:val="087A6E0C"/>
    <w:lvl w:ilvl="0" w:tplc="422AB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363"/>
    <w:rsid w:val="0001377C"/>
    <w:rsid w:val="000D62E7"/>
    <w:rsid w:val="00105A22"/>
    <w:rsid w:val="001922AA"/>
    <w:rsid w:val="001953C8"/>
    <w:rsid w:val="002E0E3B"/>
    <w:rsid w:val="002E5744"/>
    <w:rsid w:val="003776AF"/>
    <w:rsid w:val="00392E40"/>
    <w:rsid w:val="003976F2"/>
    <w:rsid w:val="003C0680"/>
    <w:rsid w:val="003F47E9"/>
    <w:rsid w:val="00462401"/>
    <w:rsid w:val="005A607F"/>
    <w:rsid w:val="00634845"/>
    <w:rsid w:val="006F1C7B"/>
    <w:rsid w:val="00875C1A"/>
    <w:rsid w:val="008F358D"/>
    <w:rsid w:val="009025AB"/>
    <w:rsid w:val="009430CF"/>
    <w:rsid w:val="00990E0E"/>
    <w:rsid w:val="009B48C6"/>
    <w:rsid w:val="009E40B0"/>
    <w:rsid w:val="00A81BEF"/>
    <w:rsid w:val="00BA3EBF"/>
    <w:rsid w:val="00BD72EE"/>
    <w:rsid w:val="00BF5431"/>
    <w:rsid w:val="00C06512"/>
    <w:rsid w:val="00D30CF8"/>
    <w:rsid w:val="00D9436D"/>
    <w:rsid w:val="00DC19FD"/>
    <w:rsid w:val="00E32346"/>
    <w:rsid w:val="00E85DB9"/>
    <w:rsid w:val="00EB170B"/>
    <w:rsid w:val="00EB3FC9"/>
    <w:rsid w:val="00EE428B"/>
    <w:rsid w:val="00EF6936"/>
    <w:rsid w:val="00F05EDD"/>
    <w:rsid w:val="00F37363"/>
    <w:rsid w:val="00FF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25CE-6A68-497F-9EEA-55DC7B16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Valentina</cp:lastModifiedBy>
  <cp:revision>6</cp:revision>
  <dcterms:created xsi:type="dcterms:W3CDTF">2019-03-05T14:14:00Z</dcterms:created>
  <dcterms:modified xsi:type="dcterms:W3CDTF">2019-03-05T14:57:00Z</dcterms:modified>
</cp:coreProperties>
</file>