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07" w:rsidRPr="00B24581" w:rsidRDefault="00577C6C" w:rsidP="00577C6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8"/>
          <w:lang w:val="ro-MO" w:eastAsia="ru-RU"/>
        </w:rPr>
      </w:pPr>
      <w:r w:rsidRPr="00B24581"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26670</wp:posOffset>
            </wp:positionV>
            <wp:extent cx="6291580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517" y="21187"/>
                <wp:lineTo x="21517" y="0"/>
                <wp:lineTo x="0" y="0"/>
              </wp:wrapPolygon>
            </wp:wrapThrough>
            <wp:docPr id="4" name="Рисунок 4" descr="C:\Users\User\Desktop\SRL LericDental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RL LericDental\DSC_0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C07" w:rsidRPr="00B24581" w:rsidRDefault="00577C6C" w:rsidP="00577C6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4"/>
          <w:szCs w:val="28"/>
          <w:lang w:val="ro-MO" w:eastAsia="ru-RU"/>
        </w:rPr>
      </w:pPr>
      <w:r w:rsidRPr="00B24581">
        <w:rPr>
          <w:rFonts w:ascii="Times New Roman" w:eastAsia="Times New Roman" w:hAnsi="Times New Roman"/>
          <w:b/>
          <w:noProof/>
          <w:sz w:val="44"/>
          <w:szCs w:val="28"/>
          <w:lang w:val="ro-MO" w:eastAsia="ru-RU"/>
        </w:rPr>
        <w:t>RAPO</w:t>
      </w:r>
      <w:r w:rsidR="00187461">
        <w:rPr>
          <w:rFonts w:ascii="Times New Roman" w:eastAsia="Times New Roman" w:hAnsi="Times New Roman"/>
          <w:b/>
          <w:noProof/>
          <w:sz w:val="44"/>
          <w:szCs w:val="28"/>
          <w:lang w:val="ro-MO" w:eastAsia="ru-RU"/>
        </w:rPr>
        <w:t xml:space="preserve">RT  </w:t>
      </w:r>
      <w:r w:rsidR="009938FB">
        <w:rPr>
          <w:rFonts w:ascii="Times New Roman" w:eastAsia="Times New Roman" w:hAnsi="Times New Roman"/>
          <w:b/>
          <w:noProof/>
          <w:sz w:val="44"/>
          <w:szCs w:val="28"/>
          <w:lang w:val="ro-MO" w:eastAsia="ru-RU"/>
        </w:rPr>
        <w:t xml:space="preserve">DE ACTIVITATE </w:t>
      </w:r>
    </w:p>
    <w:p w:rsidR="00E85C07" w:rsidRPr="00B24581" w:rsidRDefault="001500A5" w:rsidP="008D5C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44"/>
          <w:szCs w:val="28"/>
          <w:lang w:val="ro-MO" w:eastAsia="ru-RU"/>
        </w:rPr>
      </w:pPr>
      <w:r>
        <w:rPr>
          <w:rFonts w:ascii="Times New Roman" w:eastAsia="Times New Roman" w:hAnsi="Times New Roman"/>
          <w:b/>
          <w:noProof/>
          <w:sz w:val="44"/>
          <w:szCs w:val="28"/>
          <w:lang w:val="ro-MO" w:eastAsia="ru-RU"/>
        </w:rPr>
        <w:t xml:space="preserve">anul </w:t>
      </w:r>
      <w:r w:rsidR="009938FB">
        <w:rPr>
          <w:rFonts w:ascii="Times New Roman" w:eastAsia="Times New Roman" w:hAnsi="Times New Roman"/>
          <w:b/>
          <w:noProof/>
          <w:sz w:val="44"/>
          <w:szCs w:val="28"/>
          <w:lang w:val="ro-MO" w:eastAsia="ru-RU"/>
        </w:rPr>
        <w:t>2018</w:t>
      </w:r>
    </w:p>
    <w:p w:rsidR="00E85C07" w:rsidRPr="00B24581" w:rsidRDefault="00E85C07" w:rsidP="008D5C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val="ro-MO" w:eastAsia="ru-RU"/>
        </w:rPr>
      </w:pPr>
    </w:p>
    <w:p w:rsidR="00577C6C" w:rsidRPr="00B24581" w:rsidRDefault="00577C6C" w:rsidP="008D5C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val="ro-MO" w:eastAsia="ru-RU"/>
        </w:rPr>
      </w:pPr>
      <w:r w:rsidRPr="00B24581"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227330</wp:posOffset>
            </wp:positionV>
            <wp:extent cx="6292215" cy="2630170"/>
            <wp:effectExtent l="0" t="0" r="0" b="0"/>
            <wp:wrapThrough wrapText="bothSides">
              <wp:wrapPolygon edited="0">
                <wp:start x="0" y="0"/>
                <wp:lineTo x="0" y="21433"/>
                <wp:lineTo x="21515" y="21433"/>
                <wp:lineTo x="21515" y="0"/>
                <wp:lineTo x="0" y="0"/>
              </wp:wrapPolygon>
            </wp:wrapThrough>
            <wp:docPr id="9" name="Рисунок 9" descr="C:\Users\User\Desktop\DSC_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0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C07" w:rsidRPr="00B24581" w:rsidRDefault="00577C6C" w:rsidP="008D5C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ro-MO" w:eastAsia="ru-RU"/>
        </w:rPr>
      </w:pPr>
      <w:r w:rsidRPr="00B24581">
        <w:rPr>
          <w:rFonts w:ascii="Times New Roman" w:eastAsia="Times New Roman" w:hAnsi="Times New Roman"/>
          <w:b/>
          <w:noProof/>
          <w:sz w:val="28"/>
          <w:szCs w:val="28"/>
          <w:lang w:val="ro-MO" w:eastAsia="ru-RU"/>
        </w:rPr>
        <w:t>Instituția Publică Incubatorul de Afaceri din Ștefan Vodă,</w:t>
      </w:r>
    </w:p>
    <w:p w:rsidR="00577C6C" w:rsidRPr="00B24581" w:rsidRDefault="00577C6C" w:rsidP="008D5C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ro-MO" w:eastAsia="ru-RU"/>
        </w:rPr>
      </w:pPr>
    </w:p>
    <w:p w:rsidR="00E85C07" w:rsidRPr="00B24581" w:rsidRDefault="00187461" w:rsidP="007C6D5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ro-MO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ro-MO" w:eastAsia="ru-RU"/>
        </w:rPr>
        <w:t>o</w:t>
      </w:r>
      <w:r w:rsidR="001018A5">
        <w:rPr>
          <w:rFonts w:ascii="Times New Roman" w:eastAsia="Times New Roman" w:hAnsi="Times New Roman"/>
          <w:b/>
          <w:noProof/>
          <w:sz w:val="28"/>
          <w:szCs w:val="28"/>
          <w:lang w:val="ro-MO" w:eastAsia="ru-RU"/>
        </w:rPr>
        <w:t>r.</w:t>
      </w:r>
      <w:r w:rsidR="00577C6C" w:rsidRPr="00B24581">
        <w:rPr>
          <w:rFonts w:ascii="Times New Roman" w:eastAsia="Times New Roman" w:hAnsi="Times New Roman"/>
          <w:b/>
          <w:noProof/>
          <w:sz w:val="28"/>
          <w:szCs w:val="28"/>
          <w:lang w:val="ro-MO" w:eastAsia="ru-RU"/>
        </w:rPr>
        <w:t xml:space="preserve"> Ștefan Vodă, str. Testimițeanu, 2</w:t>
      </w:r>
    </w:p>
    <w:p w:rsidR="004446D4" w:rsidRPr="00B24581" w:rsidRDefault="004446D4" w:rsidP="008D5CE5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8"/>
          <w:lang w:val="ro-MO" w:eastAsia="ru-RU"/>
        </w:rPr>
      </w:pPr>
    </w:p>
    <w:p w:rsidR="0043413F" w:rsidRPr="00B24581" w:rsidRDefault="004446D4" w:rsidP="00665F2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MO"/>
        </w:rPr>
      </w:pPr>
      <w:r w:rsidRPr="00B245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MO"/>
        </w:rPr>
        <w:t xml:space="preserve">Informaţii generale referitoare la Incubatorul de Afaceri </w:t>
      </w:r>
      <w:r w:rsidRPr="00B24581">
        <w:rPr>
          <w:rFonts w:ascii="Times New Roman" w:hAnsi="Times New Roman" w:cs="Times New Roman"/>
          <w:b/>
          <w:sz w:val="24"/>
          <w:szCs w:val="28"/>
          <w:lang w:val="ro-MO"/>
        </w:rPr>
        <w:t>Stefan-Vodă</w:t>
      </w:r>
      <w:r w:rsidRPr="00B245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MO"/>
        </w:rPr>
        <w:t xml:space="preserve"> (</w:t>
      </w:r>
      <w:r w:rsidR="00665F20" w:rsidRPr="00B245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MO"/>
        </w:rPr>
        <w:t xml:space="preserve">IP </w:t>
      </w:r>
      <w:r w:rsidRPr="00B24581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ro-MO"/>
        </w:rPr>
        <w:t>IASV)</w:t>
      </w:r>
    </w:p>
    <w:p w:rsidR="00193DA0" w:rsidRPr="00B24581" w:rsidRDefault="004446D4" w:rsidP="0043413F">
      <w:pPr>
        <w:pStyle w:val="a3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val="ro-MO"/>
        </w:rPr>
      </w:pPr>
      <w:r w:rsidRPr="00B24581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val="ro-MO"/>
        </w:rPr>
        <w:t xml:space="preserve">Perioada de raportare </w:t>
      </w:r>
      <w:r w:rsidR="009938FB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val="ro-MO"/>
        </w:rPr>
        <w:t>01.01.2018  - 31.12.2018</w:t>
      </w:r>
    </w:p>
    <w:p w:rsidR="0043242C" w:rsidRPr="00B24581" w:rsidRDefault="0043242C" w:rsidP="0043413F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</w:pPr>
    </w:p>
    <w:p w:rsidR="004446D4" w:rsidRPr="00B24581" w:rsidRDefault="00193DA0" w:rsidP="00346E01">
      <w:pPr>
        <w:pStyle w:val="a3"/>
        <w:ind w:left="0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</w:pPr>
      <w:r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 Incubatorul de Afaceri din Ștefan Vodă este o instituție creată pentru susținerea în mod special dezvoltarea noilor afaceri (start up-uri), prin crearea condițiilor optime de a asigura conti</w:t>
      </w:r>
      <w:r w:rsidR="00E61F44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nuitatea activității acestora. Întreprinderile rezidente în cadrul IA  pe perioada incubării beneficiază de spații </w:t>
      </w:r>
      <w:r w:rsidR="003346ED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de birou și de producere</w:t>
      </w:r>
      <w:r w:rsidR="00F85E3A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 la preț redus</w:t>
      </w:r>
      <w:r w:rsidR="003346ED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, precum și de diverse servicii de instruire și consultanță furnizate la cerere. Astfel principalul scop al Incubatorului de Afaceri este de a crește șansele de </w:t>
      </w:r>
      <w:r w:rsidR="00B24581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suprav</w:t>
      </w:r>
      <w:r w:rsid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i</w:t>
      </w:r>
      <w:r w:rsidR="00B24581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ețure</w:t>
      </w:r>
      <w:r w:rsidR="003346ED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 a rezidenților și de a încuraja dezvoltarea antreprenorială. </w:t>
      </w:r>
      <w:r w:rsidR="00346E01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Incubatorul de Afaceri este o inițiativă a Consiliului raional și a fost creat cu suportul ODIMM și a Ministerului Economiei și cu </w:t>
      </w:r>
      <w:r w:rsidR="00B24581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sprijinul</w:t>
      </w:r>
      <w:r w:rsidR="00346E01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 financiar al Uniunii Europene în baza Programului de Suport bugetar ,,Stimularea economică în zonele rurale,,</w:t>
      </w:r>
      <w:r w:rsidR="00010F67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. În prezent pe teritoriul Republicii Moldova </w:t>
      </w:r>
      <w:r w:rsidR="001018A5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sunt 10 Incubatoare funcționale</w:t>
      </w:r>
      <w:r w:rsidR="00010F67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, care formează Rețeaua Incuba</w:t>
      </w:r>
      <w:r w:rsidR="001018A5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toarelor de Afaceri din Moldova</w:t>
      </w:r>
      <w:r w:rsidR="00866332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(RIAM) </w:t>
      </w:r>
      <w:r w:rsidR="00010F67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creată cu scopul de a facilita comunicarea informațiilor și schimbul de experiență a acestora .</w:t>
      </w:r>
    </w:p>
    <w:p w:rsidR="002902C0" w:rsidRPr="00B24581" w:rsidRDefault="00010F67" w:rsidP="004A33C5">
      <w:pPr>
        <w:pStyle w:val="a3"/>
        <w:ind w:left="0" w:firstLine="51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</w:pPr>
      <w:r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Din momentul lansării 12 aprilie 2012, IP IASV a reușit să stabilească</w:t>
      </w:r>
      <w:r w:rsidR="001018A5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 cu succes</w:t>
      </w:r>
      <w:r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 xml:space="preserve"> relații funcționale </w:t>
      </w:r>
      <w:r w:rsidR="0043242C" w:rsidRPr="00B24581"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  <w:t>cu comunitatea antreprenorială.</w:t>
      </w:r>
    </w:p>
    <w:tbl>
      <w:tblPr>
        <w:tblStyle w:val="a4"/>
        <w:tblpPr w:leftFromText="180" w:rightFromText="180" w:vertAnchor="text" w:horzAnchor="margin" w:tblpY="107"/>
        <w:tblW w:w="10173" w:type="dxa"/>
        <w:tblLook w:val="04A0"/>
      </w:tblPr>
      <w:tblGrid>
        <w:gridCol w:w="3371"/>
        <w:gridCol w:w="2425"/>
        <w:gridCol w:w="2426"/>
        <w:gridCol w:w="1951"/>
      </w:tblGrid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  <w:lastRenderedPageBreak/>
              <w:t>1.1 Suprafaţa totală a IASV</w:t>
            </w:r>
          </w:p>
        </w:tc>
        <w:tc>
          <w:tcPr>
            <w:tcW w:w="6802" w:type="dxa"/>
            <w:gridSpan w:val="3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color w:val="FF0000"/>
                <w:sz w:val="24"/>
                <w:vertAlign w:val="superscript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2237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6802" w:type="dxa"/>
            <w:gridSpan w:val="3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color w:val="FF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1.4.1 </w:t>
            </w:r>
            <w:r w:rsidRPr="00B24581">
              <w:rPr>
                <w:rFonts w:ascii="Times New Roman" w:eastAsia="Times New Roman" w:hAnsi="Times New Roman"/>
                <w:b/>
                <w:color w:val="000000"/>
                <w:sz w:val="24"/>
                <w:lang w:val="ro-MO"/>
              </w:rPr>
              <w:t>Spaţiul pentru producere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2425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Total </w:t>
            </w:r>
          </w:p>
        </w:tc>
        <w:tc>
          <w:tcPr>
            <w:tcW w:w="2426" w:type="dxa"/>
          </w:tcPr>
          <w:p w:rsidR="002902C0" w:rsidRPr="00B24581" w:rsidRDefault="00B24581" w:rsidP="002902C0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Închiriat</w:t>
            </w:r>
          </w:p>
        </w:tc>
        <w:tc>
          <w:tcPr>
            <w:tcW w:w="195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Disponibil 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2425" w:type="dxa"/>
          </w:tcPr>
          <w:p w:rsidR="002902C0" w:rsidRPr="00B24581" w:rsidRDefault="002902C0" w:rsidP="002902C0">
            <w:pPr>
              <w:rPr>
                <w:color w:val="000000" w:themeColor="text1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161,2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  <w:tc>
          <w:tcPr>
            <w:tcW w:w="2426" w:type="dxa"/>
          </w:tcPr>
          <w:p w:rsidR="002902C0" w:rsidRPr="00B24581" w:rsidRDefault="002902C0" w:rsidP="002902C0">
            <w:pPr>
              <w:rPr>
                <w:color w:val="000000" w:themeColor="text1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42,9 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  <w:tc>
          <w:tcPr>
            <w:tcW w:w="1951" w:type="dxa"/>
          </w:tcPr>
          <w:p w:rsidR="002902C0" w:rsidRPr="00B24581" w:rsidRDefault="002902C0" w:rsidP="002902C0">
            <w:pPr>
              <w:rPr>
                <w:color w:val="000000" w:themeColor="text1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118,3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6802" w:type="dxa"/>
            <w:gridSpan w:val="3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1.4.2 </w:t>
            </w:r>
            <w:r w:rsidRPr="00B24581">
              <w:rPr>
                <w:rFonts w:ascii="Times New Roman" w:eastAsia="Times New Roman" w:hAnsi="Times New Roman"/>
                <w:b/>
                <w:color w:val="000000"/>
                <w:sz w:val="24"/>
                <w:lang w:val="ro-MO"/>
              </w:rPr>
              <w:t>Spaţiul pentru birouri/servicii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2425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Total </w:t>
            </w:r>
          </w:p>
        </w:tc>
        <w:tc>
          <w:tcPr>
            <w:tcW w:w="2426" w:type="dxa"/>
          </w:tcPr>
          <w:p w:rsidR="002902C0" w:rsidRPr="00B24581" w:rsidRDefault="00B24581" w:rsidP="002902C0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Închiriat</w:t>
            </w:r>
          </w:p>
        </w:tc>
        <w:tc>
          <w:tcPr>
            <w:tcW w:w="195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Disponibil 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2425" w:type="dxa"/>
          </w:tcPr>
          <w:p w:rsidR="002902C0" w:rsidRPr="00B24581" w:rsidRDefault="002902C0" w:rsidP="002902C0">
            <w:pPr>
              <w:rPr>
                <w:color w:val="000000" w:themeColor="text1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484.3m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  <w:tc>
          <w:tcPr>
            <w:tcW w:w="2426" w:type="dxa"/>
          </w:tcPr>
          <w:p w:rsidR="002902C0" w:rsidRPr="00B24581" w:rsidRDefault="002902C0" w:rsidP="002902C0">
            <w:pPr>
              <w:rPr>
                <w:color w:val="000000" w:themeColor="text1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350,5 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  <w:tc>
          <w:tcPr>
            <w:tcW w:w="1951" w:type="dxa"/>
          </w:tcPr>
          <w:p w:rsidR="002902C0" w:rsidRPr="00B24581" w:rsidRDefault="002902C0" w:rsidP="002902C0">
            <w:pPr>
              <w:rPr>
                <w:color w:val="000000" w:themeColor="text1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133,8 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6802" w:type="dxa"/>
            <w:gridSpan w:val="3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1.4.3 Spaţiul comun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874.7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6802" w:type="dxa"/>
            <w:gridSpan w:val="3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sz w:val="24"/>
                <w:lang w:val="ro-MO"/>
              </w:rPr>
              <w:t xml:space="preserve">1.4.4 Sala de </w:t>
            </w:r>
            <w:r w:rsidR="00B24581" w:rsidRPr="00B24581">
              <w:rPr>
                <w:rFonts w:ascii="Times New Roman" w:eastAsia="Times New Roman" w:hAnsi="Times New Roman"/>
                <w:sz w:val="24"/>
                <w:lang w:val="ro-MO"/>
              </w:rPr>
              <w:t>conferințe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69.2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</w:tr>
      <w:tr w:rsidR="002902C0" w:rsidRPr="00B24581" w:rsidTr="002902C0">
        <w:tc>
          <w:tcPr>
            <w:tcW w:w="3371" w:type="dxa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</w:pPr>
          </w:p>
        </w:tc>
        <w:tc>
          <w:tcPr>
            <w:tcW w:w="6802" w:type="dxa"/>
            <w:gridSpan w:val="3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sz w:val="24"/>
                <w:lang w:val="ro-MO"/>
              </w:rPr>
              <w:t>1.4.5 Spaţiul administrativ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lang w:val="ro-MO"/>
              </w:rPr>
              <w:t>59.6 m</w:t>
            </w:r>
            <w:r w:rsidRPr="00B24581">
              <w:rPr>
                <w:rFonts w:ascii="Times New Roman" w:eastAsia="Times New Roman" w:hAnsi="Times New Roman"/>
                <w:color w:val="000000" w:themeColor="text1"/>
                <w:sz w:val="24"/>
                <w:vertAlign w:val="superscript"/>
                <w:lang w:val="ro-MO"/>
              </w:rPr>
              <w:t>2</w:t>
            </w:r>
          </w:p>
        </w:tc>
      </w:tr>
      <w:tr w:rsidR="002902C0" w:rsidRPr="00FA0BC8" w:rsidTr="002902C0">
        <w:tc>
          <w:tcPr>
            <w:tcW w:w="3371" w:type="dxa"/>
          </w:tcPr>
          <w:p w:rsidR="002902C0" w:rsidRPr="00B24581" w:rsidRDefault="001500A5" w:rsidP="002902C0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vertAlign w:val="superscript"/>
                <w:lang w:val="ro-MO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  <w:t>1.2</w:t>
            </w:r>
            <w:r w:rsidR="002902C0" w:rsidRPr="00B24581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ro-MO"/>
              </w:rPr>
              <w:t xml:space="preserve"> Costul de închiriere a unui m</w:t>
            </w:r>
            <w:r w:rsidR="002902C0" w:rsidRPr="00B24581">
              <w:rPr>
                <w:rFonts w:ascii="Times New Roman" w:eastAsia="Times New Roman" w:hAnsi="Times New Roman"/>
                <w:b/>
                <w:i/>
                <w:color w:val="000000"/>
                <w:sz w:val="24"/>
                <w:vertAlign w:val="superscript"/>
                <w:lang w:val="ro-MO"/>
              </w:rPr>
              <w:t>2</w:t>
            </w:r>
          </w:p>
        </w:tc>
        <w:tc>
          <w:tcPr>
            <w:tcW w:w="6802" w:type="dxa"/>
            <w:gridSpan w:val="3"/>
          </w:tcPr>
          <w:p w:rsidR="002902C0" w:rsidRPr="00B24581" w:rsidRDefault="002902C0" w:rsidP="002902C0">
            <w:pPr>
              <w:rPr>
                <w:rFonts w:ascii="Times New Roman" w:eastAsia="Times New Roman" w:hAnsi="Times New Roman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sz w:val="24"/>
                <w:lang w:val="ro-MO"/>
              </w:rPr>
              <w:t>Anul I:  producere  /servicii - 15 lei</w:t>
            </w:r>
          </w:p>
          <w:p w:rsidR="002902C0" w:rsidRPr="00B24581" w:rsidRDefault="002902C0" w:rsidP="002902C0">
            <w:pPr>
              <w:rPr>
                <w:rFonts w:ascii="Times New Roman" w:eastAsia="Times New Roman" w:hAnsi="Times New Roman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sz w:val="24"/>
                <w:lang w:val="ro-MO"/>
              </w:rPr>
              <w:t>Anul II: producere  /servicii - 20 lei</w:t>
            </w:r>
          </w:p>
          <w:p w:rsidR="002902C0" w:rsidRPr="00B24581" w:rsidRDefault="002902C0" w:rsidP="002902C0">
            <w:pPr>
              <w:rPr>
                <w:rFonts w:ascii="Times New Roman" w:eastAsia="Times New Roman" w:hAnsi="Times New Roman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sz w:val="24"/>
                <w:lang w:val="ro-MO"/>
              </w:rPr>
              <w:t>Anul III: producere  /servicii - 27 lei</w:t>
            </w:r>
          </w:p>
        </w:tc>
      </w:tr>
    </w:tbl>
    <w:p w:rsidR="001F6CCB" w:rsidRPr="00B24581" w:rsidRDefault="001F6CCB" w:rsidP="0097468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3C0048" w:rsidRPr="00B24581" w:rsidRDefault="00060E64" w:rsidP="003C0048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  <w:r w:rsidRPr="00B24581">
        <w:rPr>
          <w:rFonts w:ascii="Times New Roman" w:hAnsi="Times New Roman"/>
          <w:sz w:val="24"/>
          <w:szCs w:val="24"/>
          <w:lang w:val="ro-MO"/>
        </w:rPr>
        <w:t>În baza procesului verbal de constatare nr. 1 din 25 septembrie 2017, privind evaluarea încăpe</w:t>
      </w:r>
      <w:r w:rsidR="00B7471A" w:rsidRPr="00B24581">
        <w:rPr>
          <w:rFonts w:ascii="Times New Roman" w:hAnsi="Times New Roman"/>
          <w:sz w:val="24"/>
          <w:szCs w:val="24"/>
          <w:lang w:val="ro-MO"/>
        </w:rPr>
        <w:t>r</w:t>
      </w:r>
      <w:r w:rsidR="0034249E">
        <w:rPr>
          <w:rFonts w:ascii="Times New Roman" w:hAnsi="Times New Roman"/>
          <w:sz w:val="24"/>
          <w:szCs w:val="24"/>
          <w:lang w:val="ro-MO"/>
        </w:rPr>
        <w:t>ilor din demisolul Instituției,</w:t>
      </w:r>
      <w:r w:rsidR="00B7471A" w:rsidRPr="00B24581">
        <w:rPr>
          <w:rFonts w:ascii="Times New Roman" w:hAnsi="Times New Roman"/>
          <w:sz w:val="24"/>
          <w:szCs w:val="24"/>
          <w:lang w:val="ro-MO"/>
        </w:rPr>
        <w:t xml:space="preserve"> în urma constatărilor și examinării vizuale făcute </w:t>
      </w:r>
      <w:r w:rsidR="00F408FD" w:rsidRPr="00B24581">
        <w:rPr>
          <w:rFonts w:ascii="Times New Roman" w:hAnsi="Times New Roman"/>
          <w:sz w:val="24"/>
          <w:szCs w:val="24"/>
          <w:lang w:val="ro-MO"/>
        </w:rPr>
        <w:t>de către comisia de evaluare</w:t>
      </w:r>
      <w:r w:rsidR="00426158" w:rsidRPr="00B24581">
        <w:rPr>
          <w:rFonts w:ascii="Times New Roman" w:hAnsi="Times New Roman"/>
          <w:sz w:val="24"/>
          <w:szCs w:val="24"/>
          <w:lang w:val="ro-MO"/>
        </w:rPr>
        <w:t xml:space="preserve">a </w:t>
      </w:r>
      <w:r w:rsidR="00B7471A" w:rsidRPr="00B24581">
        <w:rPr>
          <w:rFonts w:ascii="Times New Roman" w:hAnsi="Times New Roman"/>
          <w:sz w:val="24"/>
          <w:szCs w:val="24"/>
          <w:lang w:val="ro-MO"/>
        </w:rPr>
        <w:t>fost aprobată minimalizarea suprafeței IA</w:t>
      </w:r>
      <w:r w:rsidR="0034249E">
        <w:rPr>
          <w:rFonts w:ascii="Times New Roman" w:hAnsi="Times New Roman"/>
          <w:sz w:val="24"/>
          <w:szCs w:val="24"/>
          <w:lang w:val="ro-MO"/>
        </w:rPr>
        <w:t xml:space="preserve"> cu 61,7 m2,</w:t>
      </w:r>
      <w:r w:rsidR="00B7471A" w:rsidRPr="00B24581">
        <w:rPr>
          <w:rFonts w:ascii="Times New Roman" w:hAnsi="Times New Roman"/>
          <w:sz w:val="24"/>
          <w:szCs w:val="24"/>
          <w:lang w:val="ro-MO"/>
        </w:rPr>
        <w:t xml:space="preserve"> prin deconectarea de la serviciile comunale a spațiilor </w:t>
      </w:r>
      <w:r w:rsidR="00556F96" w:rsidRPr="00B24581">
        <w:rPr>
          <w:rFonts w:ascii="Times New Roman" w:hAnsi="Times New Roman"/>
          <w:sz w:val="24"/>
          <w:szCs w:val="24"/>
          <w:lang w:val="ro-MO"/>
        </w:rPr>
        <w:t>date</w:t>
      </w:r>
      <w:r w:rsidR="001018A5">
        <w:rPr>
          <w:rFonts w:ascii="Times New Roman" w:hAnsi="Times New Roman"/>
          <w:sz w:val="24"/>
          <w:szCs w:val="24"/>
          <w:lang w:val="ro-MO"/>
        </w:rPr>
        <w:t>. Constatările fiind: ume</w:t>
      </w:r>
      <w:r w:rsidR="00B7471A" w:rsidRPr="00B24581">
        <w:rPr>
          <w:rFonts w:ascii="Times New Roman" w:hAnsi="Times New Roman"/>
          <w:sz w:val="24"/>
          <w:szCs w:val="24"/>
          <w:lang w:val="ro-MO"/>
        </w:rPr>
        <w:t>ditatea spori</w:t>
      </w:r>
      <w:r w:rsidR="001018A5">
        <w:rPr>
          <w:rFonts w:ascii="Times New Roman" w:hAnsi="Times New Roman"/>
          <w:sz w:val="24"/>
          <w:szCs w:val="24"/>
          <w:lang w:val="ro-MO"/>
        </w:rPr>
        <w:t>tă, mirosul puternic de mucegai</w:t>
      </w:r>
      <w:r w:rsidR="00B7471A" w:rsidRPr="00B24581">
        <w:rPr>
          <w:rFonts w:ascii="Times New Roman" w:hAnsi="Times New Roman"/>
          <w:sz w:val="24"/>
          <w:szCs w:val="24"/>
          <w:lang w:val="ro-MO"/>
        </w:rPr>
        <w:t xml:space="preserve"> și lipsa ventilării mecanice sau automate. Motivările propunerii date</w:t>
      </w:r>
      <w:r w:rsidR="00F408FD" w:rsidRPr="00B24581">
        <w:rPr>
          <w:rFonts w:ascii="Times New Roman" w:hAnsi="Times New Roman"/>
          <w:sz w:val="24"/>
          <w:szCs w:val="24"/>
          <w:lang w:val="ro-MO"/>
        </w:rPr>
        <w:t xml:space="preserve">: </w:t>
      </w:r>
      <w:r w:rsidR="00B24581" w:rsidRPr="00B24581">
        <w:rPr>
          <w:rFonts w:ascii="Times New Roman" w:hAnsi="Times New Roman"/>
          <w:sz w:val="24"/>
          <w:szCs w:val="24"/>
          <w:lang w:val="ro-MO"/>
        </w:rPr>
        <w:t>imposibilitateaactivității</w:t>
      </w:r>
      <w:r w:rsidR="00F408FD" w:rsidRPr="00B24581">
        <w:rPr>
          <w:rFonts w:ascii="Times New Roman" w:hAnsi="Times New Roman"/>
          <w:sz w:val="24"/>
          <w:szCs w:val="24"/>
          <w:lang w:val="ro-MO"/>
        </w:rPr>
        <w:t xml:space="preserve"> în condiții antisanitare, pericol direct pentru </w:t>
      </w:r>
      <w:r w:rsidR="00B24581" w:rsidRPr="00B24581">
        <w:rPr>
          <w:rFonts w:ascii="Times New Roman" w:hAnsi="Times New Roman"/>
          <w:sz w:val="24"/>
          <w:szCs w:val="24"/>
          <w:lang w:val="ro-MO"/>
        </w:rPr>
        <w:t>sănătate</w:t>
      </w:r>
      <w:r w:rsidR="00F408FD" w:rsidRPr="00B24581">
        <w:rPr>
          <w:rFonts w:ascii="Times New Roman" w:hAnsi="Times New Roman"/>
          <w:sz w:val="24"/>
          <w:szCs w:val="24"/>
          <w:lang w:val="ro-MO"/>
        </w:rPr>
        <w:t xml:space="preserve"> și condiții necorespunzătoare de păstrare a echipamentului</w:t>
      </w:r>
      <w:r w:rsidR="00866332" w:rsidRPr="00B24581">
        <w:rPr>
          <w:rFonts w:ascii="Times New Roman" w:hAnsi="Times New Roman"/>
          <w:sz w:val="24"/>
          <w:szCs w:val="24"/>
          <w:lang w:val="ro-MO"/>
        </w:rPr>
        <w:t xml:space="preserve"> si a utilajului</w:t>
      </w:r>
      <w:r w:rsidR="00F408FD" w:rsidRPr="00B24581">
        <w:rPr>
          <w:rFonts w:ascii="Times New Roman" w:hAnsi="Times New Roman"/>
          <w:sz w:val="24"/>
          <w:szCs w:val="24"/>
          <w:lang w:val="ro-MO"/>
        </w:rPr>
        <w:t>.</w:t>
      </w:r>
    </w:p>
    <w:p w:rsidR="00FC6704" w:rsidRPr="00B24581" w:rsidRDefault="00FC6704" w:rsidP="003C0048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ro-MO"/>
        </w:rPr>
      </w:pPr>
    </w:p>
    <w:p w:rsidR="009C2F03" w:rsidRPr="00B24581" w:rsidRDefault="009C2F03" w:rsidP="004446D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8"/>
          <w:lang w:val="ro-MO"/>
        </w:rPr>
      </w:pPr>
    </w:p>
    <w:p w:rsidR="0043413F" w:rsidRPr="00B24581" w:rsidRDefault="0043413F" w:rsidP="00EB5040">
      <w:pPr>
        <w:pStyle w:val="a3"/>
        <w:numPr>
          <w:ilvl w:val="0"/>
          <w:numId w:val="1"/>
        </w:numPr>
        <w:tabs>
          <w:tab w:val="left" w:pos="567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MO"/>
        </w:rPr>
      </w:pPr>
      <w:r w:rsidRPr="00B24581">
        <w:rPr>
          <w:rFonts w:ascii="Times New Roman" w:eastAsia="Times New Roman" w:hAnsi="Times New Roman"/>
          <w:b/>
          <w:color w:val="000000"/>
          <w:sz w:val="28"/>
          <w:szCs w:val="28"/>
          <w:lang w:val="ro-MO"/>
        </w:rPr>
        <w:t>Informaţii generale referitoare la rezidenţii IA</w:t>
      </w:r>
    </w:p>
    <w:p w:rsidR="004415C0" w:rsidRPr="00B24581" w:rsidRDefault="00B24581" w:rsidP="0034249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  <w:r w:rsidRPr="00B24581">
        <w:rPr>
          <w:rFonts w:ascii="Times New Roman" w:hAnsi="Times New Roman"/>
          <w:sz w:val="24"/>
          <w:szCs w:val="24"/>
          <w:lang w:val="ro-MO"/>
        </w:rPr>
        <w:t>La finele perioadei de raportare Incubatorul de Afaceri din Ștefan Vodă găzduie</w:t>
      </w:r>
      <w:r w:rsidRPr="00B24581">
        <w:rPr>
          <w:rFonts w:ascii="Times New Roman" w:hAnsi="Cambria Math"/>
          <w:sz w:val="24"/>
          <w:szCs w:val="24"/>
          <w:lang w:val="ro-MO"/>
        </w:rPr>
        <w:t>ș</w:t>
      </w:r>
      <w:r w:rsidRPr="00B24581">
        <w:rPr>
          <w:rFonts w:ascii="Times New Roman" w:hAnsi="Times New Roman"/>
          <w:sz w:val="24"/>
          <w:szCs w:val="24"/>
          <w:lang w:val="ro-MO"/>
        </w:rPr>
        <w:t>te  - 11 companii (vezi anexa nr.1), specializate  în producerea mobilier</w:t>
      </w:r>
      <w:r w:rsidR="001500A5">
        <w:rPr>
          <w:rFonts w:ascii="Times New Roman" w:hAnsi="Times New Roman"/>
          <w:sz w:val="24"/>
          <w:szCs w:val="24"/>
          <w:lang w:val="ro-MO"/>
        </w:rPr>
        <w:t>ului</w:t>
      </w:r>
      <w:r w:rsidRPr="00B24581">
        <w:rPr>
          <w:rFonts w:ascii="Times New Roman" w:hAnsi="Times New Roman"/>
          <w:sz w:val="24"/>
          <w:szCs w:val="24"/>
          <w:lang w:val="ro-MO"/>
        </w:rPr>
        <w:t>, s</w:t>
      </w:r>
      <w:r w:rsidR="001500A5">
        <w:rPr>
          <w:rFonts w:ascii="Times New Roman" w:hAnsi="Times New Roman"/>
          <w:sz w:val="24"/>
          <w:szCs w:val="24"/>
          <w:lang w:val="ro-MO"/>
        </w:rPr>
        <w:t>ervicii de masaj</w:t>
      </w:r>
      <w:r w:rsidRPr="00B24581">
        <w:rPr>
          <w:rFonts w:ascii="Times New Roman" w:hAnsi="Times New Roman"/>
          <w:sz w:val="24"/>
          <w:szCs w:val="24"/>
          <w:lang w:val="ro-MO"/>
        </w:rPr>
        <w:t>, consultanță și pre</w:t>
      </w:r>
      <w:r w:rsidR="001500A5">
        <w:rPr>
          <w:rFonts w:ascii="Times New Roman" w:hAnsi="Times New Roman"/>
          <w:sz w:val="24"/>
          <w:szCs w:val="24"/>
          <w:lang w:val="ro-MO"/>
        </w:rPr>
        <w:t>starea serviciilor cosmetice</w:t>
      </w:r>
      <w:r w:rsidRPr="00B24581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1500A5">
        <w:rPr>
          <w:rFonts w:ascii="Times New Roman" w:hAnsi="Times New Roman"/>
          <w:sz w:val="24"/>
          <w:szCs w:val="24"/>
          <w:lang w:val="ro-MO"/>
        </w:rPr>
        <w:t xml:space="preserve">servicii de traduceri, </w:t>
      </w:r>
      <w:r w:rsidRPr="00B24581">
        <w:rPr>
          <w:rFonts w:ascii="Times New Roman" w:hAnsi="Times New Roman"/>
          <w:sz w:val="24"/>
          <w:szCs w:val="24"/>
          <w:lang w:val="ro-MO"/>
        </w:rPr>
        <w:t>servicii IT și reparaț</w:t>
      </w:r>
      <w:r w:rsidR="001500A5">
        <w:rPr>
          <w:rFonts w:ascii="Times New Roman" w:hAnsi="Times New Roman"/>
          <w:sz w:val="24"/>
          <w:szCs w:val="24"/>
          <w:lang w:val="ro-MO"/>
        </w:rPr>
        <w:t>ia calculatoarelor, consulta</w:t>
      </w:r>
      <w:r w:rsidR="001500A5">
        <w:rPr>
          <w:rFonts w:ascii="Times New Roman" w:hAnsi="Times New Roman"/>
          <w:sz w:val="24"/>
          <w:szCs w:val="24"/>
          <w:lang w:val="ro-RO"/>
        </w:rPr>
        <w:t>ție</w:t>
      </w:r>
      <w:r w:rsidR="001500A5">
        <w:rPr>
          <w:rFonts w:ascii="Times New Roman" w:hAnsi="Times New Roman"/>
          <w:sz w:val="24"/>
          <w:szCs w:val="24"/>
          <w:lang w:val="ro-MO"/>
        </w:rPr>
        <w:t xml:space="preserve"> contabilă</w:t>
      </w:r>
      <w:r w:rsidRPr="00B24581">
        <w:rPr>
          <w:rFonts w:ascii="Times New Roman" w:hAnsi="Times New Roman"/>
          <w:sz w:val="24"/>
          <w:szCs w:val="24"/>
          <w:lang w:val="ro-MO"/>
        </w:rPr>
        <w:t>, stomatologice, servicii sportive și fitness,</w:t>
      </w:r>
      <w:r w:rsidRPr="00B24581">
        <w:rPr>
          <w:rFonts w:ascii="Times New Roman" w:hAnsi="Times New Roman"/>
          <w:sz w:val="24"/>
          <w:szCs w:val="28"/>
          <w:lang w:val="ro-MO"/>
        </w:rPr>
        <w:t>serviciicadastrușirelațiifunciare, geodezie, topografie</w:t>
      </w:r>
      <w:r w:rsidRPr="00B24581">
        <w:rPr>
          <w:rFonts w:ascii="Times New Roman" w:hAnsi="Times New Roman"/>
          <w:sz w:val="32"/>
          <w:szCs w:val="24"/>
          <w:lang w:val="ro-MO"/>
        </w:rPr>
        <w:t>.</w:t>
      </w:r>
      <w:r w:rsidRPr="00B24581">
        <w:rPr>
          <w:rFonts w:ascii="Times New Roman" w:hAnsi="Times New Roman"/>
          <w:sz w:val="24"/>
          <w:szCs w:val="24"/>
          <w:lang w:val="ro-MO"/>
        </w:rPr>
        <w:t xml:space="preserve"> Trei  dintre ele fiind start up – uri.</w:t>
      </w:r>
    </w:p>
    <w:tbl>
      <w:tblPr>
        <w:tblStyle w:val="a4"/>
        <w:tblW w:w="10173" w:type="dxa"/>
        <w:tblLook w:val="04A0"/>
      </w:tblPr>
      <w:tblGrid>
        <w:gridCol w:w="3371"/>
        <w:gridCol w:w="6802"/>
      </w:tblGrid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2.1 Nr. de rezidenţi, total</w:t>
            </w:r>
          </w:p>
        </w:tc>
        <w:tc>
          <w:tcPr>
            <w:tcW w:w="6802" w:type="dxa"/>
          </w:tcPr>
          <w:p w:rsidR="009C2F03" w:rsidRPr="00B24581" w:rsidRDefault="009C2F03" w:rsidP="00874FE8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b/>
                <w:color w:val="000000"/>
                <w:sz w:val="24"/>
                <w:lang w:val="ro-MO"/>
              </w:rPr>
              <w:t>11</w:t>
            </w:r>
          </w:p>
        </w:tc>
      </w:tr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Start up</w:t>
            </w:r>
          </w:p>
        </w:tc>
        <w:tc>
          <w:tcPr>
            <w:tcW w:w="6802" w:type="dxa"/>
          </w:tcPr>
          <w:p w:rsidR="009C2F03" w:rsidRPr="00B24581" w:rsidRDefault="009C2F03" w:rsidP="00874FE8">
            <w:pPr>
              <w:rPr>
                <w:rFonts w:ascii="Times New Roman" w:eastAsia="Times New Roman" w:hAnsi="Times New Roman"/>
                <w:b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b/>
                <w:color w:val="000000"/>
                <w:sz w:val="24"/>
                <w:lang w:val="ro-MO"/>
              </w:rPr>
              <w:t>3</w:t>
            </w:r>
          </w:p>
        </w:tc>
      </w:tr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Tineri </w:t>
            </w:r>
          </w:p>
        </w:tc>
        <w:tc>
          <w:tcPr>
            <w:tcW w:w="6802" w:type="dxa"/>
          </w:tcPr>
          <w:p w:rsidR="009C2F03" w:rsidRPr="00B24581" w:rsidRDefault="009C2F03" w:rsidP="00874FE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  <w:t>3</w:t>
            </w:r>
          </w:p>
        </w:tc>
      </w:tr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Femei</w:t>
            </w:r>
          </w:p>
        </w:tc>
        <w:tc>
          <w:tcPr>
            <w:tcW w:w="6802" w:type="dxa"/>
          </w:tcPr>
          <w:p w:rsidR="009C2F03" w:rsidRPr="00B24581" w:rsidRDefault="009001F6" w:rsidP="00874FE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  <w:t>4</w:t>
            </w:r>
          </w:p>
        </w:tc>
      </w:tr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2.2 Nr. locurilor de muncă, total</w:t>
            </w:r>
          </w:p>
        </w:tc>
        <w:tc>
          <w:tcPr>
            <w:tcW w:w="6802" w:type="dxa"/>
          </w:tcPr>
          <w:p w:rsidR="009C2F03" w:rsidRPr="00B24581" w:rsidRDefault="006E051C" w:rsidP="00874FE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  <w:t>39</w:t>
            </w:r>
          </w:p>
        </w:tc>
      </w:tr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Tineri </w:t>
            </w:r>
          </w:p>
        </w:tc>
        <w:tc>
          <w:tcPr>
            <w:tcW w:w="6802" w:type="dxa"/>
          </w:tcPr>
          <w:p w:rsidR="009C2F03" w:rsidRPr="00B24581" w:rsidRDefault="009001F6" w:rsidP="00874FE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  <w:t>15</w:t>
            </w:r>
          </w:p>
        </w:tc>
      </w:tr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Femei </w:t>
            </w:r>
          </w:p>
        </w:tc>
        <w:tc>
          <w:tcPr>
            <w:tcW w:w="6802" w:type="dxa"/>
          </w:tcPr>
          <w:p w:rsidR="009C2F03" w:rsidRPr="00B24581" w:rsidRDefault="009001F6" w:rsidP="00874FE8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lang w:val="ro-MO"/>
              </w:rPr>
              <w:t>11</w:t>
            </w:r>
          </w:p>
        </w:tc>
      </w:tr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2.3 Domeniul de activitate</w:t>
            </w:r>
          </w:p>
        </w:tc>
        <w:tc>
          <w:tcPr>
            <w:tcW w:w="6802" w:type="dxa"/>
          </w:tcPr>
          <w:p w:rsidR="009C2F03" w:rsidRPr="00B24581" w:rsidRDefault="009C2F03" w:rsidP="00874FE8">
            <w:pPr>
              <w:rPr>
                <w:rFonts w:ascii="Times New Roman" w:eastAsia="Times New Roman" w:hAnsi="Times New Roman"/>
                <w:b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 xml:space="preserve">Servicii   </w:t>
            </w:r>
          </w:p>
        </w:tc>
      </w:tr>
      <w:tr w:rsidR="009C2F03" w:rsidRPr="00B24581" w:rsidTr="00590047">
        <w:tc>
          <w:tcPr>
            <w:tcW w:w="3371" w:type="dxa"/>
          </w:tcPr>
          <w:p w:rsidR="009C2F03" w:rsidRPr="00B24581" w:rsidRDefault="009C2F03" w:rsidP="00874FE8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</w:pPr>
          </w:p>
        </w:tc>
        <w:tc>
          <w:tcPr>
            <w:tcW w:w="6802" w:type="dxa"/>
          </w:tcPr>
          <w:p w:rsidR="009C2F03" w:rsidRPr="00B24581" w:rsidRDefault="009C2F03" w:rsidP="00874FE8">
            <w:pPr>
              <w:rPr>
                <w:rFonts w:ascii="Times New Roman" w:eastAsia="Times New Roman" w:hAnsi="Times New Roman"/>
                <w:b/>
                <w:sz w:val="24"/>
                <w:lang w:val="ro-MO"/>
              </w:rPr>
            </w:pPr>
            <w:r w:rsidRPr="00B24581">
              <w:rPr>
                <w:rFonts w:ascii="Times New Roman" w:eastAsia="Times New Roman" w:hAnsi="Times New Roman"/>
                <w:color w:val="000000"/>
                <w:sz w:val="24"/>
                <w:lang w:val="ro-MO"/>
              </w:rPr>
              <w:t>Producere</w:t>
            </w:r>
          </w:p>
        </w:tc>
      </w:tr>
    </w:tbl>
    <w:p w:rsidR="002902C0" w:rsidRPr="00B24581" w:rsidRDefault="002902C0" w:rsidP="008F67F4">
      <w:pPr>
        <w:spacing w:after="0"/>
        <w:rPr>
          <w:rFonts w:ascii="Times New Roman" w:hAnsi="Times New Roman"/>
          <w:sz w:val="28"/>
          <w:szCs w:val="24"/>
          <w:lang w:val="ro-MO"/>
        </w:rPr>
      </w:pPr>
    </w:p>
    <w:p w:rsidR="009C2F03" w:rsidRPr="00B24581" w:rsidRDefault="00B24581" w:rsidP="008F67F4">
      <w:pPr>
        <w:spacing w:after="0"/>
        <w:rPr>
          <w:rFonts w:ascii="Times New Roman" w:hAnsi="Times New Roman"/>
          <w:sz w:val="24"/>
          <w:szCs w:val="24"/>
          <w:lang w:val="ro-MO"/>
        </w:rPr>
      </w:pPr>
      <w:r w:rsidRPr="00B24581">
        <w:rPr>
          <w:rFonts w:ascii="Times New Roman" w:hAnsi="Times New Roman"/>
          <w:sz w:val="24"/>
          <w:szCs w:val="24"/>
          <w:lang w:val="ro-MO"/>
        </w:rPr>
        <w:t>Vârsta</w:t>
      </w:r>
      <w:r w:rsidR="00A64322" w:rsidRPr="00B24581">
        <w:rPr>
          <w:rFonts w:ascii="Times New Roman" w:hAnsi="Times New Roman"/>
          <w:sz w:val="24"/>
          <w:szCs w:val="24"/>
          <w:lang w:val="ro-MO"/>
        </w:rPr>
        <w:t xml:space="preserve"> medie a rezidenților este de 35 de ani, persoane tinere și energice care contribuie la dezvoltarea economică a raionului Ștefan Vodă.</w:t>
      </w:r>
    </w:p>
    <w:p w:rsidR="008F67F4" w:rsidRDefault="008F67F4" w:rsidP="00187461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MO"/>
        </w:rPr>
      </w:pPr>
      <w:r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 xml:space="preserve">Cifra de afaceri a </w:t>
      </w:r>
      <w:r w:rsid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>firme</w:t>
      </w:r>
      <w:r w:rsidR="00B24581"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>lor</w:t>
      </w:r>
      <w:r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 xml:space="preserve"> incubate în perioada de  gestiune constituie circa</w:t>
      </w:r>
      <w:r w:rsidR="001500A5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>9 mln</w:t>
      </w:r>
      <w:r w:rsidR="00D06BBD"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>.</w:t>
      </w:r>
      <w:r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 xml:space="preserve">  lei, impozitele </w:t>
      </w:r>
      <w:r w:rsidR="00F50DE1"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>g</w:t>
      </w:r>
      <w:r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 xml:space="preserve">enerate fiind </w:t>
      </w:r>
      <w:r w:rsidR="001500A5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>de peste 700</w:t>
      </w:r>
      <w:r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 xml:space="preserve">  mii lei.</w:t>
      </w:r>
    </w:p>
    <w:p w:rsidR="00187461" w:rsidRPr="00187461" w:rsidRDefault="00187461" w:rsidP="00187461">
      <w:pPr>
        <w:spacing w:after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MO"/>
        </w:rPr>
      </w:pPr>
    </w:p>
    <w:p w:rsidR="003F33ED" w:rsidRPr="00B24581" w:rsidRDefault="003F33ED" w:rsidP="00C5033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B24581">
        <w:rPr>
          <w:rFonts w:ascii="Times New Roman" w:hAnsi="Times New Roman"/>
          <w:b/>
          <w:sz w:val="24"/>
          <w:szCs w:val="24"/>
          <w:u w:val="single"/>
          <w:lang w:val="ro-MO"/>
        </w:rPr>
        <w:t>Activitatea IP IASV</w:t>
      </w:r>
    </w:p>
    <w:p w:rsidR="008F6714" w:rsidRPr="00B24581" w:rsidRDefault="00A64322" w:rsidP="00F85E3A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4"/>
          <w:lang w:val="ro-MO"/>
        </w:rPr>
      </w:pPr>
      <w:r w:rsidRPr="00B24581">
        <w:rPr>
          <w:rFonts w:ascii="Times New Roman" w:hAnsi="Times New Roman"/>
          <w:sz w:val="24"/>
          <w:szCs w:val="24"/>
          <w:lang w:val="ro-MO"/>
        </w:rPr>
        <w:t>Pe parcursul anulu</w:t>
      </w:r>
      <w:r w:rsidR="00E6527F" w:rsidRPr="00B24581">
        <w:rPr>
          <w:rFonts w:ascii="Times New Roman" w:hAnsi="Times New Roman"/>
          <w:sz w:val="24"/>
          <w:szCs w:val="24"/>
          <w:lang w:val="ro-MO"/>
        </w:rPr>
        <w:t>i</w:t>
      </w:r>
      <w:r w:rsidR="001018A5">
        <w:rPr>
          <w:rFonts w:ascii="Times New Roman" w:hAnsi="Times New Roman"/>
          <w:sz w:val="24"/>
          <w:szCs w:val="24"/>
          <w:lang w:val="ro-MO"/>
        </w:rPr>
        <w:t xml:space="preserve"> 2018</w:t>
      </w:r>
      <w:r w:rsidRPr="00B24581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1500A5">
        <w:rPr>
          <w:rFonts w:ascii="Times New Roman" w:hAnsi="Times New Roman"/>
          <w:sz w:val="24"/>
          <w:szCs w:val="24"/>
          <w:lang w:val="ro-MO"/>
        </w:rPr>
        <w:t>97</w:t>
      </w:r>
      <w:r w:rsidR="003F33ED" w:rsidRPr="00B24581">
        <w:rPr>
          <w:rFonts w:ascii="Times New Roman" w:hAnsi="Times New Roman"/>
          <w:sz w:val="24"/>
          <w:szCs w:val="24"/>
          <w:lang w:val="ro-MO"/>
        </w:rPr>
        <w:t xml:space="preserve"> de </w:t>
      </w:r>
      <w:r w:rsidR="001500A5">
        <w:rPr>
          <w:rFonts w:ascii="Times New Roman" w:hAnsi="Times New Roman"/>
          <w:sz w:val="24"/>
          <w:szCs w:val="24"/>
          <w:lang w:val="ro-MO"/>
        </w:rPr>
        <w:t>rezidenți</w:t>
      </w:r>
      <w:r w:rsidRPr="00B24581">
        <w:rPr>
          <w:rFonts w:ascii="Times New Roman" w:hAnsi="Times New Roman"/>
          <w:sz w:val="24"/>
          <w:szCs w:val="24"/>
          <w:lang w:val="ro-MO"/>
        </w:rPr>
        <w:t xml:space="preserve"> IA și </w:t>
      </w:r>
      <w:r w:rsidR="00B24581" w:rsidRPr="00B24581">
        <w:rPr>
          <w:rFonts w:ascii="Times New Roman" w:hAnsi="Times New Roman"/>
          <w:sz w:val="24"/>
          <w:szCs w:val="24"/>
          <w:lang w:val="ro-MO"/>
        </w:rPr>
        <w:t>antreprenoridin</w:t>
      </w:r>
      <w:r w:rsidRPr="00B24581">
        <w:rPr>
          <w:rFonts w:ascii="Times New Roman" w:hAnsi="Times New Roman"/>
          <w:sz w:val="24"/>
          <w:szCs w:val="24"/>
          <w:lang w:val="ro-MO"/>
        </w:rPr>
        <w:t xml:space="preserve"> regiune au beneficiat de consultanță gratuită și individuală</w:t>
      </w:r>
      <w:r w:rsidR="003F33ED" w:rsidRPr="00B24581">
        <w:rPr>
          <w:rFonts w:ascii="Times New Roman" w:hAnsi="Times New Roman"/>
          <w:sz w:val="24"/>
          <w:szCs w:val="24"/>
          <w:lang w:val="ro-MO"/>
        </w:rPr>
        <w:t xml:space="preserve"> din parte </w:t>
      </w:r>
      <w:r w:rsidR="00B24581" w:rsidRPr="00B24581">
        <w:rPr>
          <w:rFonts w:ascii="Times New Roman" w:hAnsi="Times New Roman"/>
          <w:sz w:val="24"/>
          <w:szCs w:val="24"/>
          <w:lang w:val="ro-MO"/>
        </w:rPr>
        <w:t>aechipei</w:t>
      </w:r>
      <w:r w:rsidR="001018A5">
        <w:rPr>
          <w:rFonts w:ascii="Times New Roman" w:hAnsi="Times New Roman"/>
          <w:sz w:val="24"/>
          <w:szCs w:val="24"/>
          <w:lang w:val="ro-MO"/>
        </w:rPr>
        <w:t xml:space="preserve"> manageriale.</w:t>
      </w:r>
      <w:r w:rsidR="003F33ED" w:rsidRPr="00B24581">
        <w:rPr>
          <w:rFonts w:ascii="Times New Roman" w:hAnsi="Times New Roman"/>
          <w:sz w:val="24"/>
          <w:szCs w:val="24"/>
          <w:lang w:val="ro-MO"/>
        </w:rPr>
        <w:t xml:space="preserve"> Cele mai </w:t>
      </w:r>
      <w:r w:rsidR="00B24581" w:rsidRPr="00B24581">
        <w:rPr>
          <w:rFonts w:ascii="Times New Roman" w:hAnsi="Times New Roman"/>
          <w:sz w:val="24"/>
          <w:szCs w:val="24"/>
          <w:lang w:val="ro-MO"/>
        </w:rPr>
        <w:t>frecvente</w:t>
      </w:r>
      <w:r w:rsidR="001500A5">
        <w:rPr>
          <w:rFonts w:ascii="Times New Roman" w:hAnsi="Times New Roman"/>
          <w:sz w:val="24"/>
          <w:szCs w:val="24"/>
          <w:lang w:val="ro-MO"/>
        </w:rPr>
        <w:t xml:space="preserve"> subiecte au fost</w:t>
      </w:r>
      <w:r w:rsidR="003F33ED" w:rsidRPr="00B24581">
        <w:rPr>
          <w:rFonts w:ascii="Times New Roman" w:hAnsi="Times New Roman"/>
          <w:sz w:val="24"/>
          <w:szCs w:val="24"/>
          <w:lang w:val="ro-MO"/>
        </w:rPr>
        <w:t xml:space="preserve"> e</w:t>
      </w:r>
      <w:r w:rsidR="003F33ED" w:rsidRPr="00B2458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 xml:space="preserve">laborarea </w:t>
      </w:r>
      <w:r w:rsidR="0034249E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>business planului,</w:t>
      </w:r>
      <w:r w:rsidR="003F33ED" w:rsidRPr="00B2458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 xml:space="preserve"> accesul la sursele de finanţare, </w:t>
      </w:r>
      <w:r w:rsidR="0018746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>aplicarea la diferite programe,</w:t>
      </w:r>
      <w:r w:rsidR="003F33ED" w:rsidRPr="00B2458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 xml:space="preserve"> planificarea eficientă a </w:t>
      </w:r>
      <w:r w:rsidR="003F33ED" w:rsidRPr="00B2458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lastRenderedPageBreak/>
        <w:t>afacerii</w:t>
      </w:r>
      <w:r w:rsidR="00A87DA7" w:rsidRPr="00B2458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>,</w:t>
      </w:r>
      <w:r w:rsidR="003F33ED" w:rsidRPr="00B2458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 xml:space="preserve"> accesarea fondurilor</w:t>
      </w:r>
      <w:r w:rsidR="003937E6" w:rsidRPr="00B2458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>,</w:t>
      </w:r>
      <w:r w:rsidR="001500A5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 xml:space="preserve"> informație despre Fondul de Antreprenoriat pentru Tineri Ștefan Vodă, informație despre Programul Național Start pentru Tineri </w:t>
      </w:r>
      <w:r w:rsidR="003937E6" w:rsidRPr="00B24581">
        <w:rPr>
          <w:rFonts w:ascii="Times New Roman" w:eastAsia="Times New Roman" w:hAnsi="Times New Roman"/>
          <w:color w:val="000000"/>
          <w:sz w:val="24"/>
          <w:szCs w:val="28"/>
          <w:lang w:val="ro-MO"/>
        </w:rPr>
        <w:t>ș.a.</w:t>
      </w:r>
    </w:p>
    <w:p w:rsidR="000E5586" w:rsidRPr="00B24581" w:rsidRDefault="001500A5" w:rsidP="00974685">
      <w:pPr>
        <w:jc w:val="both"/>
        <w:rPr>
          <w:rFonts w:ascii="Times New Roman" w:hAnsi="Times New Roman"/>
          <w:sz w:val="28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În perioada 01.01.2018</w:t>
      </w:r>
      <w:r w:rsidR="000E5586" w:rsidRPr="00B24581">
        <w:rPr>
          <w:rFonts w:ascii="Times New Roman" w:hAnsi="Times New Roman"/>
          <w:sz w:val="24"/>
          <w:szCs w:val="24"/>
          <w:lang w:val="ro-MO"/>
        </w:rPr>
        <w:t xml:space="preserve"> - 31.1</w:t>
      </w:r>
      <w:r w:rsidR="00F85E3A" w:rsidRPr="00B24581">
        <w:rPr>
          <w:rFonts w:ascii="Times New Roman" w:hAnsi="Times New Roman"/>
          <w:sz w:val="24"/>
          <w:szCs w:val="24"/>
          <w:lang w:val="ro-MO"/>
        </w:rPr>
        <w:t>2</w:t>
      </w:r>
      <w:r>
        <w:rPr>
          <w:rFonts w:ascii="Times New Roman" w:hAnsi="Times New Roman"/>
          <w:sz w:val="24"/>
          <w:szCs w:val="24"/>
          <w:lang w:val="ro-MO"/>
        </w:rPr>
        <w:t>.2018</w:t>
      </w:r>
      <w:r w:rsidR="000E5586" w:rsidRPr="00B24581">
        <w:rPr>
          <w:rFonts w:ascii="Times New Roman" w:hAnsi="Times New Roman"/>
          <w:sz w:val="24"/>
          <w:szCs w:val="24"/>
          <w:lang w:val="ro-MO"/>
        </w:rPr>
        <w:t>, în cadrul IP IA</w:t>
      </w:r>
      <w:r w:rsidR="00A64322" w:rsidRPr="00B24581">
        <w:rPr>
          <w:rFonts w:ascii="Times New Roman" w:hAnsi="Times New Roman"/>
          <w:sz w:val="24"/>
          <w:szCs w:val="24"/>
          <w:lang w:val="ro-MO"/>
        </w:rPr>
        <w:t>SV</w:t>
      </w:r>
      <w:r w:rsidR="000E5586" w:rsidRPr="00B24581">
        <w:rPr>
          <w:rFonts w:ascii="Times New Roman" w:hAnsi="Times New Roman"/>
          <w:sz w:val="24"/>
          <w:szCs w:val="24"/>
          <w:lang w:val="ro-MO"/>
        </w:rPr>
        <w:t>, au fost petrecute :</w:t>
      </w:r>
    </w:p>
    <w:p w:rsidR="00791618" w:rsidRDefault="00791618" w:rsidP="0079161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036CA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6/7.02.2018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– </w:t>
      </w:r>
      <w:r w:rsidRPr="00036CA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Training: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,,Schimbările în marketingul întreprinderii în condițiile contemporane. </w:t>
      </w:r>
      <w:r w:rsidRPr="00DA448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,,Business Academy for Women,,.</w:t>
      </w:r>
    </w:p>
    <w:p w:rsidR="00791618" w:rsidRPr="00DA448F" w:rsidRDefault="00791618" w:rsidP="0079161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13/14.2018 - </w:t>
      </w:r>
      <w:r w:rsidRPr="00DA448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Training</w:t>
      </w:r>
      <w:r w:rsidRPr="00036CA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  <w:r w:rsidRPr="00DA448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,,Descrierea business proceselordin cadrul întreprinderii. Optimizarea business modelelor,,.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Formator Crainovschi Lilia. Proiectul ,,Business Academy for Women,,.</w:t>
      </w:r>
    </w:p>
    <w:p w:rsidR="00791618" w:rsidRDefault="00791618" w:rsidP="0079161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20/21.02.2018 – </w:t>
      </w:r>
      <w:r w:rsidR="0034249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Trai</w:t>
      </w:r>
      <w:r w:rsidRPr="00DA448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ning pentru femei antreprenoare</w:t>
      </w:r>
      <w:r w:rsidRPr="00036CA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  <w:r w:rsidRPr="00DA448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,,Efectuarea operaținilor de export-import. Avantajele exportului pentru sectorul întreprinderilor mici și mijlocii,,.Formator Ștefan Țurcanu. Proiectul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,,Business Academy for Women,,.</w:t>
      </w:r>
    </w:p>
    <w:p w:rsidR="00791618" w:rsidRDefault="00791618" w:rsidP="0079161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19.06.2018 – Focus Grup cu antreprenorii,  APL I, APL II și prestatorii de instruiri în afaceri din localitate cu scopul  de a analiza nivelul de instruire/pregătire și gradul de angajare a tinerilor în câmpul muncii. OIM  (Organizația  Internațională a Muncii);</w:t>
      </w:r>
    </w:p>
    <w:p w:rsidR="00791618" w:rsidRDefault="00791618" w:rsidP="0079161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10.11.2018 – </w:t>
      </w:r>
      <w:r w:rsidR="0034249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ning pentru tineri </w:t>
      </w:r>
      <w:r w:rsidRPr="003B70E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Consolidarea societății civile prin intermediul dezvoltării gândirii critice și a culturii politice” (Institutul pentru Politici și Reforme Europene).</w:t>
      </w:r>
    </w:p>
    <w:p w:rsidR="00FC6704" w:rsidRPr="001500A5" w:rsidRDefault="00DA1936" w:rsidP="004A33C5">
      <w:pPr>
        <w:tabs>
          <w:tab w:val="left" w:pos="709"/>
        </w:tabs>
        <w:spacing w:after="0"/>
        <w:rPr>
          <w:rFonts w:ascii="Times New Roman" w:eastAsia="Times New Roman" w:hAnsi="Times New Roman"/>
          <w:sz w:val="24"/>
          <w:szCs w:val="24"/>
          <w:lang w:val="ro-MO"/>
        </w:rPr>
      </w:pPr>
      <w:r w:rsidRPr="00B24581">
        <w:rPr>
          <w:rFonts w:ascii="Times New Roman" w:eastAsia="Times New Roman" w:hAnsi="Times New Roman"/>
          <w:sz w:val="24"/>
          <w:szCs w:val="24"/>
          <w:lang w:val="ro-MO"/>
        </w:rPr>
        <w:t xml:space="preserve">În cadrul  </w:t>
      </w:r>
      <w:r w:rsidR="00D1028B" w:rsidRPr="00B24581">
        <w:rPr>
          <w:rFonts w:ascii="Times New Roman" w:eastAsia="Times New Roman" w:hAnsi="Times New Roman"/>
          <w:sz w:val="24"/>
          <w:szCs w:val="24"/>
          <w:lang w:val="ro-MO"/>
        </w:rPr>
        <w:t xml:space="preserve">acestor sesiuni de  </w:t>
      </w:r>
      <w:r w:rsidRPr="00B24581">
        <w:rPr>
          <w:rFonts w:ascii="Times New Roman" w:eastAsia="Times New Roman" w:hAnsi="Times New Roman"/>
          <w:sz w:val="24"/>
          <w:szCs w:val="24"/>
          <w:lang w:val="ro-MO"/>
        </w:rPr>
        <w:t>instruir</w:t>
      </w:r>
      <w:r w:rsidR="00D1028B" w:rsidRPr="00B24581">
        <w:rPr>
          <w:rFonts w:ascii="Times New Roman" w:eastAsia="Times New Roman" w:hAnsi="Times New Roman"/>
          <w:sz w:val="24"/>
          <w:szCs w:val="24"/>
          <w:lang w:val="ro-MO"/>
        </w:rPr>
        <w:t>e</w:t>
      </w:r>
      <w:r w:rsidRPr="00B24581">
        <w:rPr>
          <w:rFonts w:ascii="Times New Roman" w:eastAsia="Times New Roman" w:hAnsi="Times New Roman"/>
          <w:sz w:val="24"/>
          <w:szCs w:val="24"/>
          <w:lang w:val="ro-MO"/>
        </w:rPr>
        <w:t xml:space="preserve"> au participat </w:t>
      </w:r>
      <w:r w:rsidR="001500A5">
        <w:rPr>
          <w:rFonts w:ascii="Times New Roman" w:eastAsia="Times New Roman" w:hAnsi="Times New Roman"/>
          <w:sz w:val="24"/>
          <w:szCs w:val="24"/>
          <w:lang w:val="ro-MO"/>
        </w:rPr>
        <w:t>peste 100</w:t>
      </w:r>
      <w:r w:rsidRPr="00B24581">
        <w:rPr>
          <w:rFonts w:ascii="Times New Roman" w:eastAsia="Times New Roman" w:hAnsi="Times New Roman"/>
          <w:sz w:val="24"/>
          <w:szCs w:val="24"/>
          <w:lang w:val="ro-MO"/>
        </w:rPr>
        <w:t xml:space="preserve"> de </w:t>
      </w:r>
      <w:r w:rsidR="00D1028B" w:rsidRPr="00B24581">
        <w:rPr>
          <w:rFonts w:ascii="Times New Roman" w:eastAsia="Times New Roman" w:hAnsi="Times New Roman"/>
          <w:sz w:val="24"/>
          <w:szCs w:val="24"/>
          <w:lang w:val="ro-MO"/>
        </w:rPr>
        <w:t xml:space="preserve">persoane, </w:t>
      </w:r>
      <w:r w:rsidR="00B24581" w:rsidRPr="00B24581">
        <w:rPr>
          <w:rFonts w:ascii="Times New Roman" w:eastAsia="Times New Roman" w:hAnsi="Times New Roman"/>
          <w:sz w:val="24"/>
          <w:szCs w:val="24"/>
          <w:lang w:val="ro-MO"/>
        </w:rPr>
        <w:t>atât</w:t>
      </w:r>
      <w:r w:rsidR="00D1028B" w:rsidRPr="00B24581">
        <w:rPr>
          <w:rFonts w:ascii="Times New Roman" w:eastAsia="Times New Roman" w:hAnsi="Times New Roman"/>
          <w:sz w:val="24"/>
          <w:szCs w:val="24"/>
          <w:lang w:val="ro-MO"/>
        </w:rPr>
        <w:t xml:space="preserve"> rezidenți ai IA </w:t>
      </w:r>
      <w:r w:rsidR="00B24581" w:rsidRPr="00B24581">
        <w:rPr>
          <w:rFonts w:ascii="Times New Roman" w:eastAsia="Times New Roman" w:hAnsi="Times New Roman"/>
          <w:sz w:val="24"/>
          <w:szCs w:val="24"/>
          <w:lang w:val="ro-MO"/>
        </w:rPr>
        <w:t>cât</w:t>
      </w:r>
      <w:r w:rsidRPr="00B24581">
        <w:rPr>
          <w:rFonts w:ascii="Times New Roman" w:eastAsia="Times New Roman" w:hAnsi="Times New Roman"/>
          <w:sz w:val="24"/>
          <w:szCs w:val="24"/>
          <w:lang w:val="ro-MO"/>
        </w:rPr>
        <w:t>și</w:t>
      </w:r>
      <w:r w:rsidR="00D1028B" w:rsidRPr="00B24581">
        <w:rPr>
          <w:rFonts w:ascii="Times New Roman" w:eastAsia="Times New Roman" w:hAnsi="Times New Roman"/>
          <w:sz w:val="24"/>
          <w:szCs w:val="24"/>
          <w:lang w:val="ro-MO"/>
        </w:rPr>
        <w:t xml:space="preserve"> antreprenori din diferite localități ale raionului</w:t>
      </w:r>
      <w:r w:rsidRPr="00B24581">
        <w:rPr>
          <w:rFonts w:ascii="Times New Roman" w:eastAsia="Times New Roman" w:hAnsi="Times New Roman"/>
          <w:sz w:val="24"/>
          <w:szCs w:val="24"/>
          <w:lang w:val="ro-MO"/>
        </w:rPr>
        <w:t xml:space="preserve">. </w:t>
      </w:r>
    </w:p>
    <w:p w:rsidR="00FC6704" w:rsidRPr="00B24581" w:rsidRDefault="00FC6704" w:rsidP="004A33C5">
      <w:pPr>
        <w:tabs>
          <w:tab w:val="left" w:pos="709"/>
        </w:tabs>
        <w:spacing w:after="0"/>
        <w:rPr>
          <w:rFonts w:ascii="Times New Roman" w:eastAsia="Times New Roman" w:hAnsi="Times New Roman"/>
          <w:color w:val="FF0000"/>
          <w:sz w:val="24"/>
          <w:szCs w:val="24"/>
          <w:lang w:val="ro-MO"/>
        </w:rPr>
      </w:pPr>
    </w:p>
    <w:p w:rsidR="00A64322" w:rsidRPr="00B24581" w:rsidRDefault="00B24581" w:rsidP="004A33C5">
      <w:pPr>
        <w:pStyle w:val="a8"/>
        <w:shd w:val="clear" w:color="auto" w:fill="FFFFFF"/>
        <w:spacing w:before="150" w:beforeAutospacing="0" w:after="0" w:afterAutospacing="0" w:line="276" w:lineRule="auto"/>
        <w:textAlignment w:val="baseline"/>
        <w:rPr>
          <w:b/>
          <w:lang w:val="ro-MO"/>
        </w:rPr>
      </w:pPr>
      <w:r w:rsidRPr="00B24581">
        <w:rPr>
          <w:b/>
          <w:lang w:val="ro-MO"/>
        </w:rPr>
        <w:t>Alteactivitati</w:t>
      </w:r>
      <w:r w:rsidR="00A64322" w:rsidRPr="00B24581">
        <w:rPr>
          <w:b/>
          <w:lang w:val="ro-MO"/>
        </w:rPr>
        <w:t xml:space="preserve"> ale IP IASV:</w:t>
      </w:r>
    </w:p>
    <w:p w:rsidR="004D34C2" w:rsidRPr="00187461" w:rsidRDefault="004D34C2" w:rsidP="004A33C5">
      <w:pPr>
        <w:spacing w:after="0"/>
        <w:rPr>
          <w:rFonts w:ascii="Times New Roman" w:eastAsia="Times New Roman" w:hAnsi="Times New Roman"/>
          <w:sz w:val="24"/>
          <w:szCs w:val="24"/>
          <w:lang w:val="ro-MO"/>
        </w:rPr>
      </w:pPr>
      <w:r w:rsidRPr="00187461">
        <w:rPr>
          <w:rFonts w:ascii="Times New Roman" w:eastAsia="Times New Roman" w:hAnsi="Times New Roman"/>
          <w:sz w:val="24"/>
          <w:szCs w:val="24"/>
          <w:lang w:val="ro-MO"/>
        </w:rPr>
        <w:t xml:space="preserve">Mese rotunde: </w:t>
      </w:r>
    </w:p>
    <w:p w:rsidR="00791618" w:rsidRPr="00187461" w:rsidRDefault="00791618" w:rsidP="0079161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87461">
        <w:rPr>
          <w:rFonts w:ascii="Times New Roman" w:hAnsi="Times New Roman"/>
          <w:sz w:val="24"/>
          <w:szCs w:val="24"/>
          <w:shd w:val="clear" w:color="auto" w:fill="FFFFFF"/>
        </w:rPr>
        <w:t xml:space="preserve">05.01.2018  -  </w:t>
      </w:r>
      <w:proofErr w:type="spellStart"/>
      <w:r w:rsidRPr="00187461">
        <w:rPr>
          <w:rFonts w:ascii="Times New Roman" w:hAnsi="Times New Roman"/>
          <w:sz w:val="24"/>
          <w:szCs w:val="24"/>
          <w:shd w:val="clear" w:color="auto" w:fill="FFFFFF"/>
        </w:rPr>
        <w:t>Sedinta</w:t>
      </w:r>
      <w:proofErr w:type="spellEnd"/>
      <w:r w:rsidRPr="00187461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187461">
        <w:rPr>
          <w:rFonts w:ascii="Times New Roman" w:hAnsi="Times New Roman"/>
          <w:sz w:val="24"/>
          <w:szCs w:val="24"/>
          <w:shd w:val="clear" w:color="auto" w:fill="FFFFFF"/>
        </w:rPr>
        <w:t>Consiliere</w:t>
      </w:r>
      <w:proofErr w:type="spellEnd"/>
      <w:r w:rsidRPr="00187461">
        <w:rPr>
          <w:rFonts w:ascii="Times New Roman" w:hAnsi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187461">
        <w:rPr>
          <w:rFonts w:ascii="Times New Roman" w:hAnsi="Times New Roman"/>
          <w:sz w:val="24"/>
          <w:szCs w:val="24"/>
          <w:shd w:val="clear" w:color="auto" w:fill="FFFFFF"/>
        </w:rPr>
        <w:t>rezidenții</w:t>
      </w:r>
      <w:proofErr w:type="spellEnd"/>
      <w:r w:rsidRPr="00187461">
        <w:rPr>
          <w:rFonts w:ascii="Times New Roman" w:hAnsi="Times New Roman"/>
          <w:sz w:val="24"/>
          <w:szCs w:val="24"/>
          <w:shd w:val="clear" w:color="auto" w:fill="FFFFFF"/>
        </w:rPr>
        <w:t xml:space="preserve"> IP IASV;</w:t>
      </w:r>
    </w:p>
    <w:p w:rsidR="00791618" w:rsidRPr="00187461" w:rsidRDefault="00791618" w:rsidP="0079161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09.02.2018 - sedinta consiliului de administrare (CA) a Incubatorului de Afaceri din Stefan Vodă. </w:t>
      </w:r>
    </w:p>
    <w:p w:rsidR="004D34C2" w:rsidRPr="00187461" w:rsidRDefault="004D34C2" w:rsidP="004A33C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MO"/>
        </w:rPr>
      </w:pPr>
      <w:r w:rsidRPr="00187461">
        <w:rPr>
          <w:rFonts w:ascii="Times New Roman" w:eastAsia="Times New Roman" w:hAnsi="Times New Roman"/>
          <w:b/>
          <w:sz w:val="24"/>
          <w:szCs w:val="24"/>
          <w:lang w:val="ro-MO"/>
        </w:rPr>
        <w:t xml:space="preserve">Activităţi la care a participat IASV (seminare, </w:t>
      </w:r>
      <w:r w:rsidR="00B24581" w:rsidRPr="00187461">
        <w:rPr>
          <w:rFonts w:ascii="Times New Roman" w:eastAsia="Times New Roman" w:hAnsi="Times New Roman"/>
          <w:b/>
          <w:sz w:val="24"/>
          <w:szCs w:val="24"/>
          <w:lang w:val="ro-MO"/>
        </w:rPr>
        <w:t>întâlniri</w:t>
      </w:r>
      <w:r w:rsidRPr="00187461">
        <w:rPr>
          <w:rFonts w:ascii="Times New Roman" w:eastAsia="Times New Roman" w:hAnsi="Times New Roman"/>
          <w:b/>
          <w:sz w:val="24"/>
          <w:szCs w:val="24"/>
          <w:lang w:val="ro-MO"/>
        </w:rPr>
        <w:t>, mese rotunde, vizite de studiu, etc.)</w:t>
      </w:r>
      <w:r w:rsidR="00167BFE" w:rsidRPr="00187461">
        <w:rPr>
          <w:rFonts w:ascii="Times New Roman" w:eastAsia="Times New Roman" w:hAnsi="Times New Roman"/>
          <w:b/>
          <w:sz w:val="24"/>
          <w:szCs w:val="24"/>
          <w:lang w:val="ro-MO"/>
        </w:rPr>
        <w:t>:</w:t>
      </w:r>
    </w:p>
    <w:p w:rsidR="00791618" w:rsidRPr="00187461" w:rsidRDefault="00167BFE" w:rsidP="0079161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87461">
        <w:rPr>
          <w:rFonts w:ascii="Times New Roman" w:eastAsia="Times New Roman" w:hAnsi="Times New Roman"/>
          <w:sz w:val="24"/>
          <w:szCs w:val="24"/>
          <w:lang w:val="ro-MO"/>
        </w:rPr>
        <w:t>Instruiri</w:t>
      </w:r>
      <w:r w:rsidR="00791618"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>23.02.2018 – seminar referitor la implimentarea legislației în domeniul ajutorului de stat și anume în parte ce ține de ,,Ajutorul de Minimis,,.  Consiliul Concurenței.</w:t>
      </w:r>
    </w:p>
    <w:p w:rsidR="00791618" w:rsidRPr="00187461" w:rsidRDefault="00791618" w:rsidP="0079161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>14.03.2018  - conferința de lansare a proiectului  ,,Oportunități comune în afaceri pentru tineri” , Moldova – Ucraina. ODIMM.</w:t>
      </w:r>
    </w:p>
    <w:p w:rsidR="00791618" w:rsidRPr="00187461" w:rsidRDefault="00791618" w:rsidP="0079161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>26/27.04.2018 - Trening ,,Mentoratul și particularitățile sale,, în cadrul proiectului Academia de business pentru femei, ODIMM.</w:t>
      </w:r>
    </w:p>
    <w:p w:rsidR="00791618" w:rsidRPr="00187461" w:rsidRDefault="00791618" w:rsidP="0079161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>03/04.05.2018 -  Training Mentoratul și trăsăturile sale</w:t>
      </w:r>
      <w:r w:rsidRPr="00187461">
        <w:rPr>
          <w:rFonts w:ascii="Times New Roman" w:eastAsia="Times New Roman" w:hAnsi="Times New Roman" w:cs="Times New Roman"/>
          <w:sz w:val="24"/>
          <w:szCs w:val="24"/>
        </w:rPr>
        <w:t>: ,,</w:t>
      </w:r>
      <w:proofErr w:type="spellStart"/>
      <w:r w:rsidRPr="00187461">
        <w:rPr>
          <w:rFonts w:ascii="Times New Roman" w:eastAsia="Times New Roman" w:hAnsi="Times New Roman" w:cs="Times New Roman"/>
          <w:sz w:val="24"/>
          <w:szCs w:val="24"/>
        </w:rPr>
        <w:t>Specificitatea</w:t>
      </w:r>
      <w:proofErr w:type="spellEnd"/>
      <w:r w:rsidR="00FA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461">
        <w:rPr>
          <w:rFonts w:ascii="Times New Roman" w:eastAsia="Times New Roman" w:hAnsi="Times New Roman" w:cs="Times New Roman"/>
          <w:sz w:val="24"/>
          <w:szCs w:val="24"/>
        </w:rPr>
        <w:t>instruirii</w:t>
      </w:r>
      <w:proofErr w:type="spellEnd"/>
      <w:r w:rsidR="00FA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46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A0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7461">
        <w:rPr>
          <w:rFonts w:ascii="Times New Roman" w:eastAsia="Times New Roman" w:hAnsi="Times New Roman" w:cs="Times New Roman"/>
          <w:sz w:val="24"/>
          <w:szCs w:val="24"/>
        </w:rPr>
        <w:t>adulți</w:t>
      </w:r>
      <w:proofErr w:type="spellEnd"/>
      <w:r w:rsidRPr="00187461"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cadrul proiectului Academia de business pentru femei, ODIMM.</w:t>
      </w:r>
    </w:p>
    <w:p w:rsidR="00791618" w:rsidRPr="00187461" w:rsidRDefault="00791618" w:rsidP="0079161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>12.09.2018  -  Atelier de lucru TAIEX ,,Politica de Cluster și programul de Suport al Investițiilor de Cluster în Moldova,,  ODIMM;</w:t>
      </w:r>
    </w:p>
    <w:p w:rsidR="00791618" w:rsidRPr="00187461" w:rsidRDefault="00791618" w:rsidP="00791618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>22.11.2018 - Ceremonia de pemiere a agenților economici din agricultură, Ziua Agricultorului.</w:t>
      </w:r>
    </w:p>
    <w:p w:rsidR="00791618" w:rsidRPr="00187461" w:rsidRDefault="00791618" w:rsidP="00791618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>13-14. 12.2018 – Curs de formare în cadrul proiectului Fondul de Antreprenoriat pentruTineri Ștefan Vodă (Fundația Est Europeană din Moldova).</w:t>
      </w:r>
    </w:p>
    <w:p w:rsidR="00167BFE" w:rsidRPr="00B24581" w:rsidRDefault="00167BFE" w:rsidP="00167BFE">
      <w:pPr>
        <w:rPr>
          <w:rFonts w:ascii="Times New Roman" w:eastAsia="Times New Roman" w:hAnsi="Times New Roman"/>
          <w:b/>
          <w:color w:val="000000"/>
          <w:sz w:val="24"/>
          <w:szCs w:val="24"/>
          <w:lang w:val="ro-MO"/>
        </w:rPr>
      </w:pPr>
      <w:r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/>
        </w:rPr>
        <w:t xml:space="preserve">Mese rotunde: </w:t>
      </w:r>
    </w:p>
    <w:p w:rsidR="00791618" w:rsidRPr="00791618" w:rsidRDefault="00791618" w:rsidP="00791618">
      <w:pPr>
        <w:numPr>
          <w:ilvl w:val="0"/>
          <w:numId w:val="23"/>
        </w:numPr>
        <w:tabs>
          <w:tab w:val="left" w:pos="2426"/>
        </w:tabs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sz w:val="24"/>
          <w:szCs w:val="24"/>
          <w:lang w:val="ro-RO" w:eastAsia="ru-RU"/>
        </w:rPr>
        <w:t>12.03.2018 – ședința grupului de lucru regional sectorial (GLRS)  pentru dezvoltarea infrastructurii de suport în afaceri în regiunea de dezvoltare Sud. ADR- Sud,  C.R. Cimișlia.</w:t>
      </w:r>
    </w:p>
    <w:p w:rsidR="00791618" w:rsidRPr="00791618" w:rsidRDefault="00791618" w:rsidP="00791618">
      <w:pPr>
        <w:numPr>
          <w:ilvl w:val="0"/>
          <w:numId w:val="23"/>
        </w:numPr>
        <w:tabs>
          <w:tab w:val="left" w:pos="2426"/>
        </w:tabs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sz w:val="24"/>
          <w:szCs w:val="24"/>
          <w:lang w:val="ro-RO" w:eastAsia="ru-RU"/>
        </w:rPr>
        <w:lastRenderedPageBreak/>
        <w:t>14.09.2018  -  Masa rotundă ,,Egalitatea de  șanse – participare echilibrată a bărbaților și a femeilor în procesul de luare a deciziilor în cadrul Acordului de cooperare în bază de proiecte cu UN Women (Entitatea Națiunilor Unite pentru Egalitatea de Gen și Abilitarea Femeilor).</w:t>
      </w:r>
    </w:p>
    <w:p w:rsidR="00791618" w:rsidRPr="00791618" w:rsidRDefault="00791618" w:rsidP="00791618">
      <w:pPr>
        <w:numPr>
          <w:ilvl w:val="0"/>
          <w:numId w:val="23"/>
        </w:numPr>
        <w:tabs>
          <w:tab w:val="left" w:pos="2426"/>
        </w:tabs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26.06.2018 - sedinta de lucru a Consiliului Consultativ al RIAM.  ODIMM.</w:t>
      </w:r>
    </w:p>
    <w:p w:rsidR="00791618" w:rsidRPr="00791618" w:rsidRDefault="00791618" w:rsidP="00791618">
      <w:pPr>
        <w:numPr>
          <w:ilvl w:val="0"/>
          <w:numId w:val="23"/>
        </w:numPr>
        <w:tabs>
          <w:tab w:val="left" w:pos="2426"/>
        </w:tabs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24.07.2018  -  ședința cu privire la instituirea comitetului local în scopul coordonării și implimentării politicii de stat în domeniul diasporei , migrației și dezvoltării de către Consiliul raional Ștefan Vodă.</w:t>
      </w:r>
    </w:p>
    <w:p w:rsidR="00791618" w:rsidRPr="00791618" w:rsidRDefault="00791618" w:rsidP="00791618">
      <w:pPr>
        <w:numPr>
          <w:ilvl w:val="0"/>
          <w:numId w:val="23"/>
        </w:numPr>
        <w:tabs>
          <w:tab w:val="left" w:pos="2426"/>
        </w:tabs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01.08.2018  -  ședința de lucru cu privire la crearea spațiului de preincubare în  cadrul Incubatoarelor de Afaceri  din cadrul  proiectului ,,Poarta de Sud a Moldovei deschisă pentru  promovarea  Afacerilor și Investițiilor”.  ODIMM.</w:t>
      </w:r>
    </w:p>
    <w:p w:rsidR="00791618" w:rsidRPr="00791618" w:rsidRDefault="00791618" w:rsidP="00791618">
      <w:pPr>
        <w:numPr>
          <w:ilvl w:val="0"/>
          <w:numId w:val="23"/>
        </w:numPr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30.10.2018 - sedinta de lucru a Consiliului Consultativ al RIAM.  ODIMM.</w:t>
      </w:r>
    </w:p>
    <w:p w:rsidR="00791618" w:rsidRPr="00791618" w:rsidRDefault="00791618" w:rsidP="00791618">
      <w:pPr>
        <w:numPr>
          <w:ilvl w:val="0"/>
          <w:numId w:val="23"/>
        </w:numPr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30.10.2018 – ședința de informare despre Black Sea Programm, despre Programul destinat antreprenoriatului social. ODIMM.</w:t>
      </w:r>
    </w:p>
    <w:p w:rsidR="00791618" w:rsidRPr="00791618" w:rsidRDefault="00791618" w:rsidP="00791618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31.01.2018  -- Expoziția națională ,, Fabricat în Moldova,, 2018. Expoziție organizată de Camera de Comert și Industrie sub patronajul Guvernului cu scopul de a susține și de a promova producătorii autohtoni.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01.03.2018 – ședința Consiliului raional Ștefan Vodă.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19.07.2018 - sesiunea PLATO, locația: Floare Carpet SA, Chișinău în cadrul proiectului ,,Business Academy for Women,, ,  ODIMM. 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25.07.2017 - Conferința de lansare ,,South Open Gate of Moldova for Business and Investmens Promotion/Poarta de Sud a Moldovei Deschisă pentru Promovarea Afacerilor și Investițiilor,  ADR Sud Cimișlia.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30.07.2018  -  conferința de totalizare a rezultatelor proiectului </w:t>
      </w:r>
      <w:r w:rsidRPr="00791618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  <w:t>,,Business Academy for Women,,</w:t>
      </w: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  ODIMM. 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21.09.2018</w:t>
      </w:r>
      <w:r w:rsidR="00187461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 -</w:t>
      </w: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 xml:space="preserve"> Conferința de lansare a proiectului ,,Fondul de Antreprenoriat Tineri Ștefan-Vodă,,  C.R. Ștefan Vodă, direcția Economie și Atragere a Investițiilor.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27.09.2018  - ședința Consiliului raional Ștefan Vodă: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08.11.2018 – Ședința de totalizare a proiectului prin care a fost elaborat Planul de Amenajare a Teritoriului Raionului Ștefan Vodă;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23.11.2018 – Conferința Internațională a IMM-urilor. Industria 4.0;</w:t>
      </w:r>
    </w:p>
    <w:p w:rsidR="00791618" w:rsidRPr="00791618" w:rsidRDefault="00791618" w:rsidP="00791618">
      <w:pPr>
        <w:numPr>
          <w:ilvl w:val="0"/>
          <w:numId w:val="23"/>
        </w:numPr>
        <w:ind w:left="145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</w:pPr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15.12.2018 –</w:t>
      </w:r>
      <w:bookmarkStart w:id="0" w:name="_GoBack"/>
      <w:bookmarkEnd w:id="0"/>
      <w:r w:rsidRPr="00791618"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  <w:t>Participarea la Forumul Antreprenorilor Femei, în cadrul Galei Antreprenoriatului Feminin (Palatul Republicii)</w:t>
      </w:r>
    </w:p>
    <w:p w:rsidR="00167BFE" w:rsidRPr="00B24581" w:rsidRDefault="00167BFE" w:rsidP="004A33C5">
      <w:pPr>
        <w:tabs>
          <w:tab w:val="left" w:pos="567"/>
          <w:tab w:val="left" w:pos="851"/>
          <w:tab w:val="left" w:pos="2426"/>
        </w:tabs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Altele: </w:t>
      </w:r>
    </w:p>
    <w:p w:rsidR="00791618" w:rsidRPr="00187461" w:rsidRDefault="00187461" w:rsidP="00791618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465455</wp:posOffset>
            </wp:positionV>
            <wp:extent cx="2628265" cy="1719580"/>
            <wp:effectExtent l="0" t="0" r="0" b="0"/>
            <wp:wrapSquare wrapText="bothSides"/>
            <wp:docPr id="10" name="Рисунок 10" descr="C:\Users\User\Desktop\31.07.2018-810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1.07.2018-810x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618"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15.06.2018 – Participarea IP IASV  la festivitatea – gala de premiere,,Businesmanul anului 2017” , organizat de către Consiliu Raional  Ștefan Vodă. Trofeul pentru Prestări Servicii de Frumusețe. </w:t>
      </w:r>
      <w:r w:rsidR="00791618" w:rsidRPr="00187461">
        <w:rPr>
          <w:rFonts w:ascii="Times New Roman" w:eastAsia="Times New Roman" w:hAnsi="Times New Roman" w:cs="Times New Roman"/>
          <w:sz w:val="24"/>
          <w:szCs w:val="24"/>
        </w:rPr>
        <w:t xml:space="preserve">– SRL </w:t>
      </w:r>
      <w:proofErr w:type="gramStart"/>
      <w:r w:rsidR="00791618" w:rsidRPr="00187461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r w:rsidR="00791618" w:rsidRPr="00187461">
        <w:rPr>
          <w:rFonts w:ascii="Times New Roman" w:eastAsia="Times New Roman" w:hAnsi="Times New Roman" w:cs="Times New Roman"/>
          <w:sz w:val="24"/>
          <w:szCs w:val="24"/>
        </w:rPr>
        <w:t>ArtaEsteticii</w:t>
      </w:r>
      <w:proofErr w:type="spellEnd"/>
      <w:proofErr w:type="gramEnd"/>
      <w:r w:rsidR="00791618" w:rsidRPr="00187461">
        <w:rPr>
          <w:rFonts w:ascii="Times New Roman" w:eastAsia="Times New Roman" w:hAnsi="Times New Roman" w:cs="Times New Roman"/>
          <w:sz w:val="24"/>
          <w:szCs w:val="24"/>
        </w:rPr>
        <w:t xml:space="preserve">”, administrator </w:t>
      </w:r>
      <w:proofErr w:type="spellStart"/>
      <w:r w:rsidR="00791618" w:rsidRPr="00187461">
        <w:rPr>
          <w:rFonts w:ascii="Times New Roman" w:eastAsia="Times New Roman" w:hAnsi="Times New Roman" w:cs="Times New Roman"/>
          <w:sz w:val="24"/>
          <w:szCs w:val="24"/>
        </w:rPr>
        <w:t>Lungu</w:t>
      </w:r>
      <w:proofErr w:type="spellEnd"/>
      <w:r w:rsidR="00791618" w:rsidRPr="00187461">
        <w:rPr>
          <w:rFonts w:ascii="Times New Roman" w:eastAsia="Times New Roman" w:hAnsi="Times New Roman" w:cs="Times New Roman"/>
          <w:sz w:val="24"/>
          <w:szCs w:val="24"/>
        </w:rPr>
        <w:t xml:space="preserve"> Ana-Maria. </w:t>
      </w:r>
    </w:p>
    <w:p w:rsidR="002902C0" w:rsidRPr="00187461" w:rsidRDefault="00791618" w:rsidP="00791618">
      <w:pPr>
        <w:pStyle w:val="a3"/>
        <w:numPr>
          <w:ilvl w:val="0"/>
          <w:numId w:val="11"/>
        </w:numPr>
        <w:tabs>
          <w:tab w:val="left" w:pos="229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o-MO"/>
        </w:rPr>
      </w:pPr>
      <w:r w:rsidRPr="00187461">
        <w:rPr>
          <w:rFonts w:ascii="Times New Roman" w:eastAsia="Times New Roman" w:hAnsi="Times New Roman" w:cs="Times New Roman"/>
          <w:sz w:val="24"/>
          <w:szCs w:val="24"/>
          <w:lang w:val="ro-RO"/>
        </w:rPr>
        <w:t>30.07.2018  -  acordarea grantului în sumă  de  6000 euro în cadrul proiectului finanța de U.E.  ,,Business Academy for Women, rezidentului IP   IASV -  S.R.L. ,,Arta Esteticii,,  administrator Lungu Ana Maria pentru procurarea echipamentului și aparatajului  necesar</w:t>
      </w:r>
      <w:r w:rsidR="00167BFE" w:rsidRPr="00187461">
        <w:rPr>
          <w:rFonts w:ascii="Times New Roman" w:eastAsia="Times New Roman" w:hAnsi="Times New Roman" w:cs="Times New Roman"/>
          <w:sz w:val="24"/>
          <w:szCs w:val="24"/>
          <w:lang w:val="ro-MO"/>
        </w:rPr>
        <w:t>.</w:t>
      </w:r>
    </w:p>
    <w:p w:rsidR="002902C0" w:rsidRPr="00B24581" w:rsidRDefault="002902C0" w:rsidP="002902C0">
      <w:pPr>
        <w:pStyle w:val="a3"/>
        <w:tabs>
          <w:tab w:val="left" w:pos="567"/>
          <w:tab w:val="left" w:pos="709"/>
          <w:tab w:val="left" w:pos="2298"/>
        </w:tabs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MO"/>
        </w:rPr>
      </w:pPr>
    </w:p>
    <w:p w:rsidR="00187461" w:rsidRDefault="00187461" w:rsidP="00546BFF">
      <w:pPr>
        <w:tabs>
          <w:tab w:val="left" w:pos="2298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o-MO"/>
        </w:rPr>
      </w:pPr>
    </w:p>
    <w:p w:rsidR="00546BFF" w:rsidRPr="00B24581" w:rsidRDefault="00546BFF" w:rsidP="00546BFF">
      <w:pPr>
        <w:tabs>
          <w:tab w:val="left" w:pos="2298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val="ro-MO"/>
        </w:rPr>
      </w:pPr>
      <w:r w:rsidRPr="00B24581">
        <w:rPr>
          <w:rFonts w:ascii="Times New Roman" w:eastAsia="Times New Roman" w:hAnsi="Times New Roman"/>
          <w:b/>
          <w:color w:val="000000"/>
          <w:sz w:val="28"/>
          <w:szCs w:val="24"/>
          <w:lang w:val="ro-MO"/>
        </w:rPr>
        <w:t xml:space="preserve">Rezultate, beneficii, </w:t>
      </w:r>
      <w:r w:rsidR="00B24581" w:rsidRPr="00B24581">
        <w:rPr>
          <w:rFonts w:ascii="Times New Roman" w:eastAsia="Times New Roman" w:hAnsi="Times New Roman"/>
          <w:b/>
          <w:color w:val="000000"/>
          <w:sz w:val="28"/>
          <w:szCs w:val="24"/>
          <w:lang w:val="ro-MO"/>
        </w:rPr>
        <w:t>impact</w:t>
      </w:r>
      <w:r w:rsidRPr="00B24581">
        <w:rPr>
          <w:rFonts w:ascii="Times New Roman" w:eastAsia="Times New Roman" w:hAnsi="Times New Roman"/>
          <w:b/>
          <w:color w:val="000000"/>
          <w:sz w:val="28"/>
          <w:szCs w:val="24"/>
          <w:lang w:val="ro-MO"/>
        </w:rPr>
        <w:t xml:space="preserve"> în urma activităților desfășurate</w:t>
      </w:r>
    </w:p>
    <w:p w:rsidR="00546BFF" w:rsidRPr="00B24581" w:rsidRDefault="00791618" w:rsidP="00EB5040">
      <w:pPr>
        <w:pStyle w:val="a3"/>
        <w:numPr>
          <w:ilvl w:val="0"/>
          <w:numId w:val="16"/>
        </w:numPr>
        <w:tabs>
          <w:tab w:val="left" w:pos="2298"/>
        </w:tabs>
        <w:ind w:left="1134" w:hanging="731"/>
        <w:jc w:val="both"/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În anul 2018</w:t>
      </w:r>
      <w:r w:rsidR="00546BFF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IP IASV a contribuit la organizarea și desfășurarea a peste </w:t>
      </w:r>
      <w:r w:rsidR="00157364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15 activități (instruiri, seminare, </w:t>
      </w:r>
      <w:r w:rsidR="00B24581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focus-grupuri</w:t>
      </w:r>
      <w:r w:rsidR="00157364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, ateliere de lucru, mese rotunde  ș.a.).</w:t>
      </w:r>
    </w:p>
    <w:p w:rsidR="008F6714" w:rsidRPr="00B24581" w:rsidRDefault="00157364" w:rsidP="0079240C">
      <w:pPr>
        <w:pStyle w:val="a3"/>
        <w:numPr>
          <w:ilvl w:val="0"/>
          <w:numId w:val="16"/>
        </w:numPr>
        <w:tabs>
          <w:tab w:val="left" w:pos="2298"/>
        </w:tabs>
        <w:ind w:left="1134" w:hanging="731"/>
        <w:jc w:val="both"/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În urma activităților desfășurate în cadrul 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IA, în anul 2018 au beneficiat peste 90</w:t>
      </w:r>
      <w:r w:rsidR="00F644AA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de persoane.</w:t>
      </w:r>
    </w:p>
    <w:p w:rsidR="00F644AA" w:rsidRPr="00B24581" w:rsidRDefault="00F644AA" w:rsidP="00EB5040">
      <w:pPr>
        <w:pStyle w:val="a3"/>
        <w:numPr>
          <w:ilvl w:val="0"/>
          <w:numId w:val="16"/>
        </w:numPr>
        <w:tabs>
          <w:tab w:val="left" w:pos="2298"/>
        </w:tabs>
        <w:ind w:left="1134" w:hanging="73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</w:pP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IP IASV a reușit să organizeze cursuri de instruire pentru antreprenori în cadrul </w:t>
      </w:r>
      <w:r w:rsidR="00B24581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programelor</w:t>
      </w:r>
      <w:r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>naționale</w:t>
      </w:r>
      <w:r w:rsidR="00255140"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 xml:space="preserve"> cu impact </w:t>
      </w:r>
      <w:r w:rsidR="002046A4"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>pentru</w:t>
      </w:r>
      <w:r w:rsidR="00791618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 xml:space="preserve"> 43</w:t>
      </w:r>
      <w:r w:rsidR="00255140" w:rsidRPr="00B24581"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  <w:t xml:space="preserve"> de persoane.</w:t>
      </w:r>
    </w:p>
    <w:p w:rsidR="00187461" w:rsidRPr="00992E50" w:rsidRDefault="00187461" w:rsidP="00187461">
      <w:pPr>
        <w:pStyle w:val="a3"/>
        <w:numPr>
          <w:ilvl w:val="0"/>
          <w:numId w:val="16"/>
        </w:numPr>
        <w:tabs>
          <w:tab w:val="left" w:pos="567"/>
          <w:tab w:val="left" w:pos="2298"/>
        </w:tabs>
        <w:ind w:left="1134" w:hanging="731"/>
        <w:jc w:val="both"/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24130</wp:posOffset>
            </wp:positionV>
            <wp:extent cx="2752725" cy="1835150"/>
            <wp:effectExtent l="0" t="0" r="0" b="0"/>
            <wp:wrapSquare wrapText="bothSides"/>
            <wp:docPr id="8" name="Рисунок 8" descr="C:\Users\User\Desktop\IMG_1189-810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189-810x5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1 rezident IA a</w:t>
      </w:r>
      <w:r w:rsidR="00255140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participat </w:t>
      </w:r>
      <w:r w:rsidR="00F644AA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la festivitatea – gala de premiere</w:t>
      </w:r>
      <w:r w:rsidR="004A33C5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,,</w:t>
      </w:r>
      <w:r w:rsidR="00B24581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Businessmanul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anului 2017</w:t>
      </w:r>
      <w:r w:rsidR="004A33C5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”</w:t>
      </w:r>
      <w:r w:rsidR="00F644AA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, organizat de către Consiliu</w:t>
      </w:r>
      <w:r w:rsidR="00575DAC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l</w:t>
      </w:r>
      <w:r w:rsidR="00F644AA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Raiona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l</w:t>
      </w:r>
      <w:r w:rsidR="00F644AA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Ștefan Vodă</w:t>
      </w:r>
      <w:r w:rsidR="00D162EA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,</w:t>
      </w:r>
      <w:r w:rsidR="0079240C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Direcția economie și atragerea investițiilor</w:t>
      </w: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. Trofeul pentru</w:t>
      </w:r>
      <w:r w:rsidR="00F644AA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prestări servicii în cosmetologie </w:t>
      </w: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a fost obținut de</w:t>
      </w:r>
      <w:r w:rsidR="00F644AA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SRL ,,Arta Esteticii”, administrator Lungu Ana-Maria.</w:t>
      </w:r>
    </w:p>
    <w:p w:rsidR="00F644AA" w:rsidRPr="00B24581" w:rsidRDefault="00187461" w:rsidP="00EB5040">
      <w:pPr>
        <w:pStyle w:val="a3"/>
        <w:numPr>
          <w:ilvl w:val="0"/>
          <w:numId w:val="16"/>
        </w:numPr>
        <w:tabs>
          <w:tab w:val="left" w:pos="2298"/>
        </w:tabs>
        <w:ind w:left="1134" w:hanging="731"/>
        <w:jc w:val="both"/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Acordarea a 97</w:t>
      </w:r>
      <w:r w:rsidR="00255140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 de consultații în domeniul antreprenorial de către echipa mana</w:t>
      </w: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gerială pe parcursul anului 2018</w:t>
      </w:r>
      <w:r w:rsidR="00255140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, tinerilor antreprenori din cadrul IA și din localitate.</w:t>
      </w:r>
    </w:p>
    <w:p w:rsidR="00194CDE" w:rsidRPr="00791618" w:rsidRDefault="00194CDE" w:rsidP="00791618">
      <w:pPr>
        <w:pStyle w:val="a3"/>
        <w:numPr>
          <w:ilvl w:val="0"/>
          <w:numId w:val="16"/>
        </w:numPr>
        <w:tabs>
          <w:tab w:val="left" w:pos="2298"/>
        </w:tabs>
        <w:ind w:left="1134" w:hanging="73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MO"/>
        </w:rPr>
      </w:pPr>
      <w:r w:rsidRPr="00B24581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În </w:t>
      </w:r>
      <w:r w:rsidR="00B24581" w:rsidRPr="00B24581">
        <w:rPr>
          <w:rFonts w:ascii="Times New Roman" w:eastAsia="Times New Roman" w:hAnsi="Times New Roman" w:cs="Times New Roman"/>
          <w:sz w:val="24"/>
          <w:szCs w:val="24"/>
          <w:lang w:val="ro-MO"/>
        </w:rPr>
        <w:t>parteneriat</w:t>
      </w:r>
      <w:r w:rsidRPr="00B24581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cu ODIMM au fost identificați antreprenori cu potențial de export din regiunea SUD </w:t>
      </w:r>
      <w:r w:rsidR="00575DAC">
        <w:rPr>
          <w:rFonts w:ascii="Times New Roman" w:eastAsia="Times New Roman" w:hAnsi="Times New Roman" w:cs="Times New Roman"/>
          <w:sz w:val="24"/>
          <w:szCs w:val="24"/>
          <w:lang w:val="ro-MO"/>
        </w:rPr>
        <w:t>care au participat</w:t>
      </w:r>
      <w:r w:rsidRPr="00B24581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în cadrul unui Focus Grup care a avut drept scop dezvoltarea programului de formare personalizat pentru exportatori. Obiectivul acestei activități a constatat  în identificarea și analiza principalelor bariere </w:t>
      </w:r>
      <w:r w:rsidR="00B24581" w:rsidRPr="00B24581">
        <w:rPr>
          <w:rFonts w:ascii="Times New Roman" w:eastAsia="Times New Roman" w:hAnsi="Times New Roman" w:cs="Times New Roman"/>
          <w:sz w:val="24"/>
          <w:szCs w:val="24"/>
          <w:lang w:val="ro-MO"/>
        </w:rPr>
        <w:t>întâmpinate</w:t>
      </w:r>
      <w:r w:rsidRPr="00B24581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de IMM-urile orientate la export, </w:t>
      </w:r>
      <w:r w:rsidR="00B24581" w:rsidRPr="00B24581">
        <w:rPr>
          <w:rFonts w:ascii="Times New Roman" w:eastAsia="Times New Roman" w:hAnsi="Times New Roman" w:cs="Times New Roman"/>
          <w:sz w:val="24"/>
          <w:szCs w:val="24"/>
          <w:lang w:val="ro-MO"/>
        </w:rPr>
        <w:t>atât</w:t>
      </w:r>
      <w:r w:rsidRPr="00B24581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la </w:t>
      </w:r>
      <w:r w:rsidRPr="00791618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efectuarea exporturilor din Moldova, </w:t>
      </w:r>
      <w:r w:rsidR="00B24581" w:rsidRPr="00791618">
        <w:rPr>
          <w:rFonts w:ascii="Times New Roman" w:eastAsia="Times New Roman" w:hAnsi="Times New Roman" w:cs="Times New Roman"/>
          <w:sz w:val="24"/>
          <w:szCs w:val="24"/>
          <w:lang w:val="ro-MO"/>
        </w:rPr>
        <w:t>cât</w:t>
      </w:r>
      <w:r w:rsidRPr="00791618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și în procesul de identificare de intrare pe </w:t>
      </w:r>
      <w:r w:rsidR="00B24581" w:rsidRPr="00791618">
        <w:rPr>
          <w:rFonts w:ascii="Times New Roman" w:eastAsia="Times New Roman" w:hAnsi="Times New Roman" w:cs="Times New Roman"/>
          <w:sz w:val="24"/>
          <w:szCs w:val="24"/>
          <w:lang w:val="ro-MO"/>
        </w:rPr>
        <w:t>piețele</w:t>
      </w:r>
      <w:r w:rsidRPr="00791618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noi. </w:t>
      </w:r>
    </w:p>
    <w:p w:rsidR="00760D1A" w:rsidRPr="00B24581" w:rsidRDefault="00187461" w:rsidP="00EB5040">
      <w:pPr>
        <w:pStyle w:val="a3"/>
        <w:numPr>
          <w:ilvl w:val="0"/>
          <w:numId w:val="16"/>
        </w:numPr>
        <w:tabs>
          <w:tab w:val="left" w:pos="2298"/>
        </w:tabs>
        <w:ind w:left="1134" w:hanging="731"/>
        <w:jc w:val="both"/>
        <w:rPr>
          <w:rFonts w:ascii="Times New Roman" w:eastAsia="Times New Roman" w:hAnsi="Times New Roman"/>
          <w:color w:val="000000"/>
          <w:sz w:val="24"/>
          <w:szCs w:val="24"/>
          <w:lang w:val="ro-M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Continuă litigiul de judecată</w:t>
      </w:r>
      <w:r w:rsidR="00B24581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 xml:space="preserve">cu privire la încasarea de la ex-rezidentul Incubatorului de Afaceri Î.I. Bolozan Ion a datoriei(conform contractului de locațiune </w:t>
      </w:r>
      <w:r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nr.29, din 15 iulie 2014)</w:t>
      </w:r>
      <w:r w:rsidR="00B24581" w:rsidRPr="00B24581">
        <w:rPr>
          <w:rFonts w:ascii="Times New Roman" w:eastAsia="Times New Roman" w:hAnsi="Times New Roman"/>
          <w:color w:val="000000"/>
          <w:sz w:val="24"/>
          <w:szCs w:val="24"/>
          <w:lang w:val="ro-MO"/>
        </w:rPr>
        <w:t>.</w:t>
      </w:r>
    </w:p>
    <w:p w:rsidR="00187461" w:rsidRPr="00992E50" w:rsidRDefault="00187461" w:rsidP="00992E50">
      <w:pPr>
        <w:pStyle w:val="a3"/>
        <w:tabs>
          <w:tab w:val="left" w:pos="2298"/>
        </w:tabs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ro-MO"/>
        </w:rPr>
      </w:pPr>
    </w:p>
    <w:p w:rsidR="00C82A4F" w:rsidRPr="00B24581" w:rsidRDefault="00B24581" w:rsidP="00FB60C7">
      <w:pPr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</w:pPr>
      <w:r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>Alte</w:t>
      </w:r>
      <w:r w:rsidR="00FA0BC8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>i</w:t>
      </w:r>
      <w:r w:rsidR="00FA0BC8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>n</w:t>
      </w:r>
      <w:r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>formaţii</w:t>
      </w:r>
      <w:r w:rsidR="00FA0BC8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>relevante</w:t>
      </w:r>
      <w:r w:rsidR="00FA0BC8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>în</w:t>
      </w:r>
      <w:r w:rsidR="00FA0BC8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>activitatea</w:t>
      </w:r>
      <w:r w:rsidR="00FA0BC8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>instituţiei</w:t>
      </w:r>
      <w:r w:rsidR="00167BFE" w:rsidRPr="00B24581">
        <w:rPr>
          <w:rFonts w:ascii="Times New Roman" w:eastAsia="Times New Roman" w:hAnsi="Times New Roman"/>
          <w:b/>
          <w:color w:val="000000"/>
          <w:sz w:val="24"/>
          <w:szCs w:val="24"/>
          <w:lang w:val="ro-MO" w:eastAsia="ru-RU"/>
        </w:rPr>
        <w:t xml:space="preserve"> :</w:t>
      </w:r>
    </w:p>
    <w:p w:rsidR="003F7EC8" w:rsidRPr="00B24581" w:rsidRDefault="00B24581" w:rsidP="00FB60C7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</w:pP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În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ceea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ce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priveşte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situaţia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="00575DAC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financiară a instituţiei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, la data de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31.12.2018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, IP IASV nu înregistrează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nici o datorie la capitolul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remunerarea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muncii, impozite, servicii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utilități,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toate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facturile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primite</w:t>
      </w:r>
      <w:r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pâ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nă la data menţionată au fost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achitate.</w:t>
      </w:r>
    </w:p>
    <w:p w:rsidR="003F7EC8" w:rsidRPr="00B24581" w:rsidRDefault="00B24581" w:rsidP="00FB60C7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</w:pP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Alocația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financiară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pentru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anul 2018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din partea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fondatorului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în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sumă de 200 000, 00 mii lei, și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veniturile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obținute de la rezidenți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în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urma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achitării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facturilor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pentru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serviciile</w:t>
      </w:r>
      <w:r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p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restate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în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sumă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totală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au fost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utilizaţ</w:t>
      </w:r>
      <w:r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i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pentru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achitarea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salariului, facturilor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și a serviciilor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comunale conform bugetului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aprobat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pentru a. 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2018</w:t>
      </w:r>
      <w:r w:rsidR="003F7EC8"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.</w:t>
      </w:r>
    </w:p>
    <w:p w:rsidR="00B9051A" w:rsidRPr="0034249E" w:rsidRDefault="00B24581" w:rsidP="0034249E">
      <w:pPr>
        <w:numPr>
          <w:ilvl w:val="0"/>
          <w:numId w:val="13"/>
        </w:numPr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</w:pP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La finele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="0079161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anului 2018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, Consiliul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raional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aprobat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decizia de a susține IASV pe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Pr="00B24581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parcursul</w:t>
      </w:r>
      <w:r w:rsidR="00FA0BC8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</w:t>
      </w:r>
      <w:r w:rsidR="00791618" w:rsidRPr="0034249E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>anului 2019</w:t>
      </w:r>
      <w:r w:rsidRPr="0034249E">
        <w:rPr>
          <w:rFonts w:ascii="Times New Roman" w:eastAsia="Times New Roman" w:hAnsi="Times New Roman"/>
          <w:color w:val="000000"/>
          <w:sz w:val="24"/>
          <w:szCs w:val="24"/>
          <w:lang w:val="ro-MO" w:eastAsia="ru-RU"/>
        </w:rPr>
        <w:t xml:space="preserve"> cu suma de 150 000 mii lei. </w:t>
      </w:r>
    </w:p>
    <w:p w:rsidR="0034249E" w:rsidRDefault="0034249E" w:rsidP="004446D4">
      <w:pPr>
        <w:jc w:val="both"/>
        <w:rPr>
          <w:rFonts w:ascii="Times New Roman" w:hAnsi="Times New Roman"/>
          <w:b/>
          <w:sz w:val="24"/>
          <w:szCs w:val="28"/>
          <w:lang w:val="ro-MO"/>
        </w:rPr>
      </w:pPr>
    </w:p>
    <w:p w:rsidR="0034249E" w:rsidRDefault="0034249E" w:rsidP="004446D4">
      <w:pPr>
        <w:jc w:val="both"/>
        <w:rPr>
          <w:rFonts w:ascii="Times New Roman" w:hAnsi="Times New Roman"/>
          <w:b/>
          <w:sz w:val="24"/>
          <w:szCs w:val="28"/>
          <w:lang w:val="ro-MO"/>
        </w:rPr>
      </w:pPr>
    </w:p>
    <w:p w:rsidR="00352447" w:rsidRPr="00B24581" w:rsidRDefault="00A92131" w:rsidP="004446D4">
      <w:pPr>
        <w:jc w:val="both"/>
        <w:rPr>
          <w:rFonts w:ascii="Times New Roman" w:hAnsi="Times New Roman"/>
          <w:b/>
          <w:sz w:val="24"/>
          <w:szCs w:val="28"/>
          <w:lang w:val="ro-MO"/>
        </w:rPr>
      </w:pPr>
      <w:r w:rsidRPr="00B24581">
        <w:rPr>
          <w:rFonts w:ascii="Times New Roman" w:hAnsi="Times New Roman"/>
          <w:b/>
          <w:sz w:val="24"/>
          <w:szCs w:val="28"/>
          <w:lang w:val="ro-MO"/>
        </w:rPr>
        <w:lastRenderedPageBreak/>
        <w:t>Concluzii</w:t>
      </w:r>
    </w:p>
    <w:p w:rsidR="005348F1" w:rsidRPr="00B24581" w:rsidRDefault="00007745" w:rsidP="004446D4">
      <w:p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IP IASV continuă să activeze la realizarea priorităților stabilite</w:t>
      </w:r>
      <w:r w:rsidR="005348F1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:</w:t>
      </w:r>
    </w:p>
    <w:p w:rsidR="0081209F" w:rsidRPr="00B24581" w:rsidRDefault="0081209F" w:rsidP="001C11B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Identificarea și instruirea tinerilor doritori de a iniția o afacere, oferirea </w:t>
      </w:r>
      <w:r w:rsidR="00297A10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condițiilor în </w:t>
      </w:r>
      <w:r w:rsidR="00B24581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perioada</w:t>
      </w:r>
      <w:r w:rsidR="00297A10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 de </w:t>
      </w:r>
      <w:r w:rsidR="00D162EA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pre</w:t>
      </w:r>
      <w:r w:rsidR="00297A10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incubare.</w:t>
      </w:r>
    </w:p>
    <w:p w:rsidR="00067257" w:rsidRPr="00B24581" w:rsidRDefault="005348F1" w:rsidP="001C11B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Promovarea IP IASV și a programelor naționale ODIMM;</w:t>
      </w:r>
    </w:p>
    <w:p w:rsidR="006B3AEE" w:rsidRPr="00B24581" w:rsidRDefault="005348F1" w:rsidP="001C11B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Atragerea tinerilor antreprenori în calitate de </w:t>
      </w:r>
      <w:r w:rsidR="00B24581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rezidenț</w:t>
      </w:r>
      <w:r w:rsid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i</w:t>
      </w: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 ai IP IASV</w:t>
      </w:r>
      <w:r w:rsidR="006B3AEE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;</w:t>
      </w:r>
    </w:p>
    <w:p w:rsidR="005348F1" w:rsidRPr="00B24581" w:rsidRDefault="00507AB5" w:rsidP="001C11B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Încurajarea antreprenoriatului </w:t>
      </w:r>
      <w:r w:rsidR="00B24581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feminin</w:t>
      </w: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 în regiune</w:t>
      </w:r>
      <w:r w:rsidR="005348F1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;</w:t>
      </w:r>
    </w:p>
    <w:p w:rsidR="00CD20F4" w:rsidRPr="00B24581" w:rsidRDefault="00CD20F4" w:rsidP="001C11B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Inițierea și dezvoltarea </w:t>
      </w:r>
      <w:r w:rsidR="000B7E22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parteneriatelor locale, naționale, regionale și internaționale pentru su</w:t>
      </w:r>
      <w:r w:rsidR="00575DAC">
        <w:rPr>
          <w:rFonts w:ascii="Times New Roman" w:hAnsi="Times New Roman"/>
          <w:color w:val="000000" w:themeColor="text1"/>
          <w:sz w:val="24"/>
          <w:szCs w:val="28"/>
          <w:lang w:val="ro-MO"/>
        </w:rPr>
        <w:t>sținerea tinerilor antreprenori</w:t>
      </w:r>
      <w:r w:rsidR="000B7E22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, care să contribuie la crearea a noi locuri de muncă în regiune și creșterea economică locală.</w:t>
      </w:r>
    </w:p>
    <w:p w:rsidR="00297A10" w:rsidRPr="00B24581" w:rsidRDefault="000B7E22" w:rsidP="001C11B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Identifi</w:t>
      </w:r>
      <w:r w:rsidR="0081209F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carea </w:t>
      </w:r>
      <w:r w:rsidR="00B24581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mecanismelor</w:t>
      </w:r>
      <w:r w:rsidR="0081209F"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 de finanțare constante pentru asigurarea activității adecvate a IA.</w:t>
      </w:r>
    </w:p>
    <w:p w:rsidR="000B7E22" w:rsidRPr="00B24581" w:rsidRDefault="001C11BA" w:rsidP="001C11B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Extinderea spațiului și a serviciilor IASV pentru un număr mai mare de beneficiari .</w:t>
      </w:r>
    </w:p>
    <w:p w:rsidR="002902C0" w:rsidRPr="00B24581" w:rsidRDefault="00B24581" w:rsidP="002902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8"/>
          <w:lang w:val="ro-MO"/>
        </w:rPr>
      </w:pP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>Ameliorarea infrastructurii IP IASV pentru crearea condițiilor optime rezidenților care să contribuie la desfășurarea unei activități eficien</w:t>
      </w:r>
      <w:r>
        <w:rPr>
          <w:rFonts w:ascii="Times New Roman" w:hAnsi="Times New Roman"/>
          <w:color w:val="000000" w:themeColor="text1"/>
          <w:sz w:val="24"/>
          <w:szCs w:val="28"/>
          <w:lang w:val="ro-MO"/>
        </w:rPr>
        <w:t>te: construirea unui acoperiș șa</w:t>
      </w:r>
      <w:r w:rsidRPr="00B24581">
        <w:rPr>
          <w:rFonts w:ascii="Times New Roman" w:hAnsi="Times New Roman"/>
          <w:color w:val="000000" w:themeColor="text1"/>
          <w:sz w:val="24"/>
          <w:szCs w:val="28"/>
          <w:lang w:val="ro-MO"/>
        </w:rPr>
        <w:t xml:space="preserve">rpant  cu un sistem eficient de scurgere a apeidin urma precipitațiilor care ar rezolva parțial problema etajelor superioare și a întregului edificiu, instalare unui sistem de ventilare în demisolul instituției. </w:t>
      </w:r>
    </w:p>
    <w:p w:rsidR="002902C0" w:rsidRPr="00C56C9B" w:rsidRDefault="002902C0" w:rsidP="00C56C9B">
      <w:pPr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</w:pPr>
      <w:r w:rsidRPr="00C56C9B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Administrator IP IASV</w:t>
      </w:r>
      <w:r w:rsidR="00791618">
        <w:rPr>
          <w:rFonts w:ascii="Times New Roman" w:hAnsi="Times New Roman"/>
          <w:b/>
          <w:color w:val="000000" w:themeColor="text1"/>
          <w:sz w:val="28"/>
          <w:szCs w:val="28"/>
          <w:lang w:val="ro-MO"/>
        </w:rPr>
        <w:t>Adelina BARBĂNEAGRĂ</w:t>
      </w:r>
    </w:p>
    <w:p w:rsidR="00C56C9B" w:rsidRPr="007E69A7" w:rsidRDefault="00C56C9B" w:rsidP="00C56C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O"/>
        </w:rPr>
      </w:pPr>
      <w:r w:rsidRPr="007E69A7">
        <w:rPr>
          <w:rFonts w:ascii="Times New Roman" w:hAnsi="Times New Roman"/>
          <w:sz w:val="28"/>
          <w:szCs w:val="28"/>
          <w:lang w:val="ro-MO"/>
        </w:rPr>
        <w:t xml:space="preserve">Anexa nr.1 Lista companiilor </w:t>
      </w:r>
    </w:p>
    <w:p w:rsidR="00C56C9B" w:rsidRPr="007E69A7" w:rsidRDefault="00575DAC" w:rsidP="00C56C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 xml:space="preserve">rezidente </w:t>
      </w:r>
      <w:r>
        <w:rPr>
          <w:rFonts w:ascii="Times New Roman" w:hAnsi="Times New Roman"/>
          <w:sz w:val="28"/>
          <w:szCs w:val="28"/>
          <w:lang w:val="ro-RO"/>
        </w:rPr>
        <w:t>în</w:t>
      </w:r>
      <w:r w:rsidR="00C56C9B" w:rsidRPr="007E69A7">
        <w:rPr>
          <w:rFonts w:ascii="Times New Roman" w:hAnsi="Times New Roman"/>
          <w:sz w:val="28"/>
          <w:szCs w:val="28"/>
          <w:lang w:val="ro-MO"/>
        </w:rPr>
        <w:t xml:space="preserve"> Instituția Publică</w:t>
      </w:r>
    </w:p>
    <w:p w:rsidR="00C56C9B" w:rsidRPr="007E69A7" w:rsidRDefault="00C56C9B" w:rsidP="00C56C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O"/>
        </w:rPr>
      </w:pPr>
      <w:r w:rsidRPr="007E69A7">
        <w:rPr>
          <w:rFonts w:ascii="Times New Roman" w:hAnsi="Times New Roman"/>
          <w:sz w:val="28"/>
          <w:szCs w:val="28"/>
          <w:lang w:val="ro-MO"/>
        </w:rPr>
        <w:t>Incubatorul de Afaceri din Ștefan Vodă</w:t>
      </w:r>
    </w:p>
    <w:p w:rsidR="00C56C9B" w:rsidRPr="007E69A7" w:rsidRDefault="00575DAC" w:rsidP="00C56C9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>l</w:t>
      </w:r>
      <w:r w:rsidR="00791618">
        <w:rPr>
          <w:rFonts w:ascii="Times New Roman" w:hAnsi="Times New Roman"/>
          <w:sz w:val="28"/>
          <w:szCs w:val="28"/>
          <w:lang w:val="ro-MO"/>
        </w:rPr>
        <w:t>a data de 31.12.2018</w:t>
      </w:r>
    </w:p>
    <w:p w:rsidR="00C56C9B" w:rsidRPr="007E69A7" w:rsidRDefault="00C56C9B" w:rsidP="00C56C9B">
      <w:pPr>
        <w:jc w:val="both"/>
        <w:rPr>
          <w:sz w:val="28"/>
          <w:szCs w:val="28"/>
          <w:lang w:val="ro-MO"/>
        </w:rPr>
      </w:pPr>
    </w:p>
    <w:tbl>
      <w:tblPr>
        <w:tblStyle w:val="a4"/>
        <w:tblW w:w="10543" w:type="dxa"/>
        <w:jc w:val="center"/>
        <w:tblInd w:w="-759" w:type="dxa"/>
        <w:tblLook w:val="04A0"/>
      </w:tblPr>
      <w:tblGrid>
        <w:gridCol w:w="559"/>
        <w:gridCol w:w="1944"/>
        <w:gridCol w:w="1518"/>
        <w:gridCol w:w="1518"/>
        <w:gridCol w:w="2557"/>
        <w:gridCol w:w="1365"/>
        <w:gridCol w:w="1158"/>
      </w:tblGrid>
      <w:tr w:rsidR="00C56C9B" w:rsidRPr="00F44BD2" w:rsidTr="0034249E">
        <w:trPr>
          <w:trHeight w:val="859"/>
          <w:jc w:val="center"/>
        </w:trPr>
        <w:tc>
          <w:tcPr>
            <w:tcW w:w="559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szCs w:val="28"/>
                <w:lang w:val="ro-MO"/>
              </w:rPr>
              <w:t>N/d</w:t>
            </w:r>
          </w:p>
        </w:tc>
        <w:tc>
          <w:tcPr>
            <w:tcW w:w="1944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szCs w:val="28"/>
                <w:lang w:val="ro-MO"/>
              </w:rPr>
              <w:t>Denumirea</w:t>
            </w:r>
          </w:p>
        </w:tc>
        <w:tc>
          <w:tcPr>
            <w:tcW w:w="1518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szCs w:val="28"/>
                <w:lang w:val="ro-MO"/>
              </w:rPr>
              <w:t>Fondatorul</w:t>
            </w:r>
          </w:p>
        </w:tc>
        <w:tc>
          <w:tcPr>
            <w:tcW w:w="1518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szCs w:val="28"/>
                <w:lang w:val="ro-MO"/>
              </w:rPr>
              <w:t>Genul de activitate</w:t>
            </w:r>
          </w:p>
        </w:tc>
        <w:tc>
          <w:tcPr>
            <w:tcW w:w="2557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szCs w:val="28"/>
                <w:lang w:val="ro-MO"/>
              </w:rPr>
              <w:t>Date de contact</w:t>
            </w:r>
          </w:p>
        </w:tc>
        <w:tc>
          <w:tcPr>
            <w:tcW w:w="1365" w:type="dxa"/>
            <w:hideMark/>
          </w:tcPr>
          <w:p w:rsidR="00C56C9B" w:rsidRPr="00F44BD2" w:rsidRDefault="00C56C9B" w:rsidP="0097632D">
            <w:pPr>
              <w:rPr>
                <w:rFonts w:ascii="Times New Roman" w:hAnsi="Times New Roman"/>
                <w:b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szCs w:val="28"/>
                <w:lang w:val="ro-MO"/>
              </w:rPr>
              <w:t>Anul înregistrării ca rezident IASV</w:t>
            </w:r>
          </w:p>
        </w:tc>
        <w:tc>
          <w:tcPr>
            <w:tcW w:w="1082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szCs w:val="28"/>
                <w:lang w:val="ro-MO"/>
              </w:rPr>
              <w:t>Suprafața ocupata m2</w:t>
            </w:r>
          </w:p>
        </w:tc>
      </w:tr>
      <w:tr w:rsidR="00C56C9B" w:rsidRPr="00F44BD2" w:rsidTr="0034249E">
        <w:trPr>
          <w:trHeight w:val="757"/>
          <w:jc w:val="center"/>
        </w:trPr>
        <w:tc>
          <w:tcPr>
            <w:tcW w:w="559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1</w:t>
            </w:r>
          </w:p>
        </w:tc>
        <w:tc>
          <w:tcPr>
            <w:tcW w:w="1944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SRL BitInternet Servicii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Burdencov Victor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Servicii reparații calculatoare și încărcare cartușe</w:t>
            </w:r>
          </w:p>
        </w:tc>
        <w:tc>
          <w:tcPr>
            <w:tcW w:w="2557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67597392                                  r-nl Ștefan Vodă, sat Talmaza, str. 27 August, 30.</w:t>
            </w:r>
          </w:p>
        </w:tc>
        <w:tc>
          <w:tcPr>
            <w:tcW w:w="1365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01.01.2015</w:t>
            </w:r>
          </w:p>
        </w:tc>
        <w:tc>
          <w:tcPr>
            <w:tcW w:w="1082" w:type="dxa"/>
            <w:noWrap/>
            <w:hideMark/>
          </w:tcPr>
          <w:p w:rsidR="00C56C9B" w:rsidRPr="00F44BD2" w:rsidRDefault="009001F6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>
              <w:rPr>
                <w:rFonts w:ascii="Times New Roman" w:hAnsi="Times New Roman"/>
                <w:szCs w:val="28"/>
                <w:lang w:val="ro-MO"/>
              </w:rPr>
              <w:t>27</w:t>
            </w:r>
            <w:r w:rsidR="00C56C9B" w:rsidRPr="00F44BD2">
              <w:rPr>
                <w:rFonts w:ascii="Times New Roman" w:hAnsi="Times New Roman"/>
                <w:szCs w:val="28"/>
                <w:lang w:val="ro-MO"/>
              </w:rPr>
              <w:t>,8</w:t>
            </w:r>
          </w:p>
        </w:tc>
      </w:tr>
      <w:tr w:rsidR="00C56C9B" w:rsidRPr="00F44BD2" w:rsidTr="0034249E">
        <w:trPr>
          <w:trHeight w:val="770"/>
          <w:jc w:val="center"/>
        </w:trPr>
        <w:tc>
          <w:tcPr>
            <w:tcW w:w="559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2</w:t>
            </w:r>
          </w:p>
        </w:tc>
        <w:tc>
          <w:tcPr>
            <w:tcW w:w="1944" w:type="dxa"/>
            <w:noWrap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 xml:space="preserve">SRL </w:t>
            </w:r>
            <w:r w:rsidRPr="00F44BD2">
              <w:rPr>
                <w:rFonts w:ascii="Times New Roman" w:hAnsi="Times New Roman"/>
                <w:szCs w:val="28"/>
              </w:rPr>
              <w:t>“</w:t>
            </w:r>
            <w:r w:rsidRPr="00F44BD2">
              <w:rPr>
                <w:rFonts w:ascii="Times New Roman" w:hAnsi="Times New Roman"/>
                <w:szCs w:val="28"/>
                <w:lang w:val="ro-RO"/>
              </w:rPr>
              <w:t>Isportcom</w:t>
            </w:r>
            <w:r w:rsidRPr="00F44BD2">
              <w:rPr>
                <w:rFonts w:ascii="Times New Roman" w:hAnsi="Times New Roman"/>
                <w:szCs w:val="28"/>
              </w:rPr>
              <w:t>”</w:t>
            </w:r>
          </w:p>
        </w:tc>
        <w:tc>
          <w:tcPr>
            <w:tcW w:w="1518" w:type="dxa"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Sergiu Istrati</w:t>
            </w:r>
          </w:p>
        </w:tc>
        <w:tc>
          <w:tcPr>
            <w:tcW w:w="1518" w:type="dxa"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Marketing cosmetice</w:t>
            </w:r>
          </w:p>
        </w:tc>
        <w:tc>
          <w:tcPr>
            <w:tcW w:w="2557" w:type="dxa"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069210224</w:t>
            </w:r>
          </w:p>
        </w:tc>
        <w:tc>
          <w:tcPr>
            <w:tcW w:w="1365" w:type="dxa"/>
            <w:noWrap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01.04.2018</w:t>
            </w:r>
          </w:p>
        </w:tc>
        <w:tc>
          <w:tcPr>
            <w:tcW w:w="1082" w:type="dxa"/>
            <w:noWrap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15,1</w:t>
            </w:r>
          </w:p>
        </w:tc>
      </w:tr>
      <w:tr w:rsidR="00C56C9B" w:rsidRPr="00F44BD2" w:rsidTr="0034249E">
        <w:trPr>
          <w:trHeight w:val="770"/>
          <w:jc w:val="center"/>
        </w:trPr>
        <w:tc>
          <w:tcPr>
            <w:tcW w:w="559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3</w:t>
            </w:r>
          </w:p>
        </w:tc>
        <w:tc>
          <w:tcPr>
            <w:tcW w:w="1944" w:type="dxa"/>
            <w:noWrap/>
            <w:hideMark/>
          </w:tcPr>
          <w:p w:rsidR="00C56C9B" w:rsidRPr="00F44BD2" w:rsidRDefault="00C56C9B" w:rsidP="0097632D">
            <w:pPr>
              <w:ind w:right="-254"/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SRL CursRapidMega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Dodonov Adriana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Servicii consultative - contabilitate, 1 C</w:t>
            </w:r>
          </w:p>
        </w:tc>
        <w:tc>
          <w:tcPr>
            <w:tcW w:w="2557" w:type="dxa"/>
            <w:hideMark/>
          </w:tcPr>
          <w:p w:rsidR="00C56C9B" w:rsidRPr="00F44BD2" w:rsidRDefault="00252A55" w:rsidP="0097632D">
            <w:pPr>
              <w:jc w:val="both"/>
              <w:rPr>
                <w:rFonts w:ascii="Times New Roman" w:hAnsi="Times New Roman"/>
                <w:szCs w:val="28"/>
                <w:u w:val="single"/>
                <w:lang w:val="ro-MO"/>
              </w:rPr>
            </w:pPr>
            <w:hyperlink r:id="rId10" w:history="1">
              <w:r w:rsidR="00C56C9B" w:rsidRPr="00F44BD2">
                <w:rPr>
                  <w:rStyle w:val="a7"/>
                  <w:rFonts w:ascii="Times New Roman" w:hAnsi="Times New Roman"/>
                  <w:szCs w:val="28"/>
                  <w:lang w:val="ro-MO"/>
                </w:rPr>
                <w:t>cursuri@list.ru        060449755</w:t>
              </w:r>
            </w:hyperlink>
          </w:p>
        </w:tc>
        <w:tc>
          <w:tcPr>
            <w:tcW w:w="1365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01.09.2014</w:t>
            </w:r>
          </w:p>
        </w:tc>
        <w:tc>
          <w:tcPr>
            <w:tcW w:w="1082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16,1</w:t>
            </w:r>
          </w:p>
        </w:tc>
      </w:tr>
      <w:tr w:rsidR="00C56C9B" w:rsidRPr="00F44BD2" w:rsidTr="0034249E">
        <w:trPr>
          <w:trHeight w:val="770"/>
          <w:jc w:val="center"/>
        </w:trPr>
        <w:tc>
          <w:tcPr>
            <w:tcW w:w="559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4</w:t>
            </w:r>
          </w:p>
        </w:tc>
        <w:tc>
          <w:tcPr>
            <w:tcW w:w="1944" w:type="dxa"/>
            <w:noWrap/>
          </w:tcPr>
          <w:p w:rsidR="00C56C9B" w:rsidRPr="00F44BD2" w:rsidRDefault="0034249E" w:rsidP="0097632D">
            <w:pPr>
              <w:rPr>
                <w:rFonts w:ascii="Times New Roman" w:hAnsi="Times New Roman"/>
                <w:szCs w:val="28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 xml:space="preserve">SRL </w:t>
            </w:r>
            <w:r w:rsidRPr="00F44BD2">
              <w:rPr>
                <w:rFonts w:ascii="Times New Roman" w:hAnsi="Times New Roman"/>
                <w:szCs w:val="28"/>
              </w:rPr>
              <w:t>“</w:t>
            </w:r>
            <w:r w:rsidRPr="00F44BD2">
              <w:rPr>
                <w:rFonts w:ascii="Times New Roman" w:hAnsi="Times New Roman"/>
                <w:szCs w:val="28"/>
                <w:lang w:val="ro-RO"/>
              </w:rPr>
              <w:t>Firas W Agro</w:t>
            </w:r>
            <w:r w:rsidRPr="00F44BD2">
              <w:rPr>
                <w:rFonts w:ascii="Times New Roman" w:hAnsi="Times New Roman"/>
                <w:szCs w:val="28"/>
              </w:rPr>
              <w:t>”</w:t>
            </w:r>
          </w:p>
        </w:tc>
        <w:tc>
          <w:tcPr>
            <w:tcW w:w="1518" w:type="dxa"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Sergiu Ioncu</w:t>
            </w:r>
          </w:p>
        </w:tc>
        <w:tc>
          <w:tcPr>
            <w:tcW w:w="1518" w:type="dxa"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Cultivarea cerealelor, contabilitate</w:t>
            </w:r>
          </w:p>
        </w:tc>
        <w:tc>
          <w:tcPr>
            <w:tcW w:w="2557" w:type="dxa"/>
          </w:tcPr>
          <w:p w:rsidR="00C56C9B" w:rsidRPr="00F44BD2" w:rsidRDefault="00F44BD2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s.</w:t>
            </w:r>
            <w:r w:rsidR="0034249E" w:rsidRPr="00F44BD2">
              <w:rPr>
                <w:rFonts w:ascii="Times New Roman" w:hAnsi="Times New Roman"/>
                <w:szCs w:val="28"/>
                <w:lang w:val="ro-MO"/>
              </w:rPr>
              <w:t xml:space="preserve"> Brezoaia, str. Lenin, 7</w:t>
            </w:r>
          </w:p>
        </w:tc>
        <w:tc>
          <w:tcPr>
            <w:tcW w:w="1365" w:type="dxa"/>
            <w:noWrap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30.09.2018</w:t>
            </w:r>
          </w:p>
        </w:tc>
        <w:tc>
          <w:tcPr>
            <w:tcW w:w="1082" w:type="dxa"/>
            <w:noWrap/>
          </w:tcPr>
          <w:p w:rsidR="00C56C9B" w:rsidRPr="00F44BD2" w:rsidRDefault="00F44BD2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25,9</w:t>
            </w:r>
          </w:p>
        </w:tc>
      </w:tr>
      <w:tr w:rsidR="00C56C9B" w:rsidRPr="00F44BD2" w:rsidTr="0034249E">
        <w:trPr>
          <w:trHeight w:val="757"/>
          <w:jc w:val="center"/>
        </w:trPr>
        <w:tc>
          <w:tcPr>
            <w:tcW w:w="559" w:type="dxa"/>
            <w:noWrap/>
            <w:hideMark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5</w:t>
            </w:r>
          </w:p>
        </w:tc>
        <w:tc>
          <w:tcPr>
            <w:tcW w:w="1944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SRL Lerikdental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Coroi Valeriu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Servicii stomatologice</w:t>
            </w:r>
          </w:p>
        </w:tc>
        <w:tc>
          <w:tcPr>
            <w:tcW w:w="2557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 xml:space="preserve">079574485                            </w:t>
            </w:r>
            <w:hyperlink r:id="rId11" w:history="1">
              <w:r w:rsidR="00F44BD2" w:rsidRPr="009B5625">
                <w:rPr>
                  <w:rStyle w:val="a7"/>
                  <w:rFonts w:ascii="Times New Roman" w:hAnsi="Times New Roman"/>
                  <w:szCs w:val="28"/>
                  <w:lang w:val="ro-MO"/>
                </w:rPr>
                <w:t>lericdental@gmail.com</w:t>
              </w:r>
            </w:hyperlink>
          </w:p>
        </w:tc>
        <w:tc>
          <w:tcPr>
            <w:tcW w:w="1365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01.05.2015</w:t>
            </w:r>
          </w:p>
        </w:tc>
        <w:tc>
          <w:tcPr>
            <w:tcW w:w="1082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38,6</w:t>
            </w:r>
          </w:p>
        </w:tc>
      </w:tr>
      <w:tr w:rsidR="00C56C9B" w:rsidRPr="00F44BD2" w:rsidTr="0034249E">
        <w:trPr>
          <w:trHeight w:val="757"/>
          <w:jc w:val="center"/>
        </w:trPr>
        <w:tc>
          <w:tcPr>
            <w:tcW w:w="559" w:type="dxa"/>
            <w:noWrap/>
            <w:hideMark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lastRenderedPageBreak/>
              <w:t>6</w:t>
            </w:r>
          </w:p>
        </w:tc>
        <w:tc>
          <w:tcPr>
            <w:tcW w:w="1944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SRL Creature Mobile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Ganu Andrei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Fabricarea de mobilier</w:t>
            </w:r>
          </w:p>
        </w:tc>
        <w:tc>
          <w:tcPr>
            <w:tcW w:w="2557" w:type="dxa"/>
            <w:hideMark/>
          </w:tcPr>
          <w:p w:rsidR="00C56C9B" w:rsidRPr="00F44BD2" w:rsidRDefault="00252A55" w:rsidP="0097632D">
            <w:pPr>
              <w:jc w:val="both"/>
              <w:rPr>
                <w:rFonts w:ascii="Times New Roman" w:hAnsi="Times New Roman"/>
                <w:szCs w:val="28"/>
                <w:u w:val="single"/>
                <w:lang w:val="ro-MO"/>
              </w:rPr>
            </w:pPr>
            <w:hyperlink r:id="rId12" w:history="1">
              <w:r w:rsidR="00C56C9B" w:rsidRPr="00F44BD2">
                <w:rPr>
                  <w:rStyle w:val="a7"/>
                  <w:rFonts w:ascii="Times New Roman" w:hAnsi="Times New Roman"/>
                  <w:szCs w:val="28"/>
                  <w:lang w:val="ro-MO"/>
                </w:rPr>
                <w:t>068533586                               creature.mobile@mail.ru</w:t>
              </w:r>
            </w:hyperlink>
          </w:p>
        </w:tc>
        <w:tc>
          <w:tcPr>
            <w:tcW w:w="1365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10.02.2016</w:t>
            </w:r>
          </w:p>
        </w:tc>
        <w:tc>
          <w:tcPr>
            <w:tcW w:w="1082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42,9</w:t>
            </w:r>
          </w:p>
        </w:tc>
      </w:tr>
      <w:tr w:rsidR="00C56C9B" w:rsidRPr="00F44BD2" w:rsidTr="0034249E">
        <w:trPr>
          <w:trHeight w:val="757"/>
          <w:jc w:val="center"/>
        </w:trPr>
        <w:tc>
          <w:tcPr>
            <w:tcW w:w="559" w:type="dxa"/>
            <w:noWrap/>
            <w:hideMark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7</w:t>
            </w:r>
          </w:p>
        </w:tc>
        <w:tc>
          <w:tcPr>
            <w:tcW w:w="1944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Misail Sergiu - patenta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Misail Sergiu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Servicii masaj</w:t>
            </w:r>
          </w:p>
        </w:tc>
        <w:tc>
          <w:tcPr>
            <w:tcW w:w="2557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69214413                                  or. Ștefan Vodă, str. S. Lazo 35</w:t>
            </w:r>
          </w:p>
        </w:tc>
        <w:tc>
          <w:tcPr>
            <w:tcW w:w="1365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01.01.2017</w:t>
            </w:r>
          </w:p>
        </w:tc>
        <w:tc>
          <w:tcPr>
            <w:tcW w:w="1082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18,2</w:t>
            </w:r>
          </w:p>
        </w:tc>
      </w:tr>
      <w:tr w:rsidR="00C56C9B" w:rsidRPr="00F44BD2" w:rsidTr="0034249E">
        <w:trPr>
          <w:trHeight w:val="770"/>
          <w:jc w:val="center"/>
        </w:trPr>
        <w:tc>
          <w:tcPr>
            <w:tcW w:w="559" w:type="dxa"/>
            <w:noWrap/>
            <w:hideMark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8</w:t>
            </w:r>
          </w:p>
        </w:tc>
        <w:tc>
          <w:tcPr>
            <w:tcW w:w="1944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SRL ,,Geox-Vector"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Buzgan Natalia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Servicii cadastru și relații funciare, geodezie, topografie</w:t>
            </w:r>
          </w:p>
        </w:tc>
        <w:tc>
          <w:tcPr>
            <w:tcW w:w="2557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069642876                                or. Ștefan Vodă, str. Alexandru cel Bun 23</w:t>
            </w:r>
          </w:p>
        </w:tc>
        <w:tc>
          <w:tcPr>
            <w:tcW w:w="1365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14.02.2017</w:t>
            </w:r>
          </w:p>
        </w:tc>
        <w:tc>
          <w:tcPr>
            <w:tcW w:w="1082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26</w:t>
            </w:r>
          </w:p>
        </w:tc>
      </w:tr>
      <w:tr w:rsidR="00C56C9B" w:rsidRPr="00F44BD2" w:rsidTr="0034249E">
        <w:trPr>
          <w:trHeight w:val="770"/>
          <w:jc w:val="center"/>
        </w:trPr>
        <w:tc>
          <w:tcPr>
            <w:tcW w:w="559" w:type="dxa"/>
            <w:noWrap/>
            <w:hideMark/>
          </w:tcPr>
          <w:p w:rsidR="00C56C9B" w:rsidRPr="00F44BD2" w:rsidRDefault="0034249E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9</w:t>
            </w:r>
          </w:p>
        </w:tc>
        <w:tc>
          <w:tcPr>
            <w:tcW w:w="1944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Î.I. ,,Ixari Galina,,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Ixari Galina</w:t>
            </w:r>
          </w:p>
        </w:tc>
        <w:tc>
          <w:tcPr>
            <w:tcW w:w="1518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Servicii fitness</w:t>
            </w:r>
          </w:p>
        </w:tc>
        <w:tc>
          <w:tcPr>
            <w:tcW w:w="2557" w:type="dxa"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 xml:space="preserve">069415160   </w:t>
            </w:r>
            <w:hyperlink r:id="rId13" w:history="1">
              <w:r w:rsidR="00F44BD2" w:rsidRPr="009B5625">
                <w:rPr>
                  <w:rStyle w:val="a7"/>
                  <w:rFonts w:ascii="Times New Roman" w:hAnsi="Times New Roman"/>
                  <w:szCs w:val="28"/>
                  <w:lang w:val="ro-MO"/>
                </w:rPr>
                <w:t>galina.ixari@gmail.com</w:t>
              </w:r>
            </w:hyperlink>
          </w:p>
        </w:tc>
        <w:tc>
          <w:tcPr>
            <w:tcW w:w="1365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01.09.2017</w:t>
            </w:r>
          </w:p>
        </w:tc>
        <w:tc>
          <w:tcPr>
            <w:tcW w:w="1082" w:type="dxa"/>
            <w:noWrap/>
            <w:hideMark/>
          </w:tcPr>
          <w:p w:rsidR="00C56C9B" w:rsidRPr="00F44BD2" w:rsidRDefault="00C56C9B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70</w:t>
            </w:r>
          </w:p>
        </w:tc>
      </w:tr>
      <w:tr w:rsidR="0034249E" w:rsidRPr="00F44BD2" w:rsidTr="0034249E">
        <w:trPr>
          <w:trHeight w:val="770"/>
          <w:jc w:val="center"/>
        </w:trPr>
        <w:tc>
          <w:tcPr>
            <w:tcW w:w="559" w:type="dxa"/>
            <w:noWrap/>
          </w:tcPr>
          <w:p w:rsidR="0034249E" w:rsidRPr="00F44BD2" w:rsidRDefault="0034249E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10</w:t>
            </w:r>
          </w:p>
        </w:tc>
        <w:tc>
          <w:tcPr>
            <w:tcW w:w="1944" w:type="dxa"/>
            <w:noWrap/>
          </w:tcPr>
          <w:p w:rsidR="0034249E" w:rsidRPr="00F44BD2" w:rsidRDefault="0034249E" w:rsidP="0097632D">
            <w:pPr>
              <w:jc w:val="both"/>
              <w:rPr>
                <w:rFonts w:ascii="Times New Roman" w:hAnsi="Times New Roman"/>
                <w:szCs w:val="28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 xml:space="preserve">SRL </w:t>
            </w:r>
            <w:r w:rsidRPr="00F44BD2">
              <w:rPr>
                <w:rFonts w:ascii="Times New Roman" w:hAnsi="Times New Roman"/>
                <w:szCs w:val="28"/>
              </w:rPr>
              <w:t>“</w:t>
            </w:r>
            <w:r w:rsidRPr="00F44BD2">
              <w:rPr>
                <w:rFonts w:ascii="Times New Roman" w:hAnsi="Times New Roman"/>
                <w:szCs w:val="28"/>
                <w:lang w:val="ro-RO"/>
              </w:rPr>
              <w:t>Legisdocs</w:t>
            </w:r>
            <w:r w:rsidRPr="00F44BD2">
              <w:rPr>
                <w:rFonts w:ascii="Times New Roman" w:hAnsi="Times New Roman"/>
                <w:szCs w:val="28"/>
              </w:rPr>
              <w:t>”</w:t>
            </w:r>
          </w:p>
        </w:tc>
        <w:tc>
          <w:tcPr>
            <w:tcW w:w="1518" w:type="dxa"/>
          </w:tcPr>
          <w:p w:rsidR="0034249E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Dorin Vascan</w:t>
            </w:r>
          </w:p>
        </w:tc>
        <w:tc>
          <w:tcPr>
            <w:tcW w:w="1518" w:type="dxa"/>
          </w:tcPr>
          <w:p w:rsidR="0034249E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Servicii juridice</w:t>
            </w:r>
          </w:p>
        </w:tc>
        <w:tc>
          <w:tcPr>
            <w:tcW w:w="2557" w:type="dxa"/>
          </w:tcPr>
          <w:p w:rsidR="0034249E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079400939</w:t>
            </w:r>
          </w:p>
        </w:tc>
        <w:tc>
          <w:tcPr>
            <w:tcW w:w="1365" w:type="dxa"/>
            <w:noWrap/>
          </w:tcPr>
          <w:p w:rsidR="0034249E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01.11.2018</w:t>
            </w:r>
          </w:p>
        </w:tc>
        <w:tc>
          <w:tcPr>
            <w:tcW w:w="1082" w:type="dxa"/>
            <w:noWrap/>
          </w:tcPr>
          <w:p w:rsidR="0034249E" w:rsidRPr="00F44BD2" w:rsidRDefault="0034249E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15,5</w:t>
            </w:r>
          </w:p>
        </w:tc>
      </w:tr>
      <w:tr w:rsidR="00F44BD2" w:rsidRPr="00F44BD2" w:rsidTr="0034249E">
        <w:trPr>
          <w:trHeight w:val="770"/>
          <w:jc w:val="center"/>
        </w:trPr>
        <w:tc>
          <w:tcPr>
            <w:tcW w:w="559" w:type="dxa"/>
            <w:noWrap/>
          </w:tcPr>
          <w:p w:rsidR="00F44BD2" w:rsidRPr="00F44BD2" w:rsidRDefault="00F44BD2" w:rsidP="0097632D">
            <w:pPr>
              <w:jc w:val="both"/>
              <w:rPr>
                <w:rFonts w:ascii="Times New Roman" w:hAnsi="Times New Roman"/>
                <w:b/>
                <w:bCs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b/>
                <w:bCs/>
                <w:szCs w:val="28"/>
                <w:lang w:val="ro-MO"/>
              </w:rPr>
              <w:t>11</w:t>
            </w:r>
          </w:p>
        </w:tc>
        <w:tc>
          <w:tcPr>
            <w:tcW w:w="1944" w:type="dxa"/>
            <w:noWrap/>
          </w:tcPr>
          <w:p w:rsidR="00F44BD2" w:rsidRPr="00F44BD2" w:rsidRDefault="00F44BD2" w:rsidP="00F44BD2">
            <w:pPr>
              <w:rPr>
                <w:rFonts w:ascii="Times New Roman" w:hAnsi="Times New Roman"/>
                <w:szCs w:val="28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 xml:space="preserve">SRL </w:t>
            </w:r>
            <w:r w:rsidRPr="00F44BD2">
              <w:rPr>
                <w:rFonts w:ascii="Times New Roman" w:hAnsi="Times New Roman"/>
                <w:szCs w:val="28"/>
              </w:rPr>
              <w:t xml:space="preserve">“Rapid </w:t>
            </w:r>
            <w:proofErr w:type="spellStart"/>
            <w:r w:rsidRPr="00F44BD2">
              <w:rPr>
                <w:rFonts w:ascii="Times New Roman" w:hAnsi="Times New Roman"/>
                <w:szCs w:val="28"/>
              </w:rPr>
              <w:t>Servcom</w:t>
            </w:r>
            <w:proofErr w:type="spellEnd"/>
            <w:r w:rsidRPr="00F44BD2">
              <w:rPr>
                <w:rFonts w:ascii="Times New Roman" w:hAnsi="Times New Roman"/>
                <w:szCs w:val="28"/>
              </w:rPr>
              <w:t>”</w:t>
            </w:r>
          </w:p>
        </w:tc>
        <w:tc>
          <w:tcPr>
            <w:tcW w:w="1518" w:type="dxa"/>
          </w:tcPr>
          <w:p w:rsidR="00F44BD2" w:rsidRPr="00F44BD2" w:rsidRDefault="00F44BD2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Serghei Prutean</w:t>
            </w:r>
          </w:p>
        </w:tc>
        <w:tc>
          <w:tcPr>
            <w:tcW w:w="1518" w:type="dxa"/>
          </w:tcPr>
          <w:p w:rsidR="00F44BD2" w:rsidRPr="00F44BD2" w:rsidRDefault="00F44BD2" w:rsidP="0097632D">
            <w:pPr>
              <w:jc w:val="both"/>
              <w:rPr>
                <w:rFonts w:ascii="Times New Roman" w:hAnsi="Times New Roman"/>
                <w:szCs w:val="28"/>
                <w:lang w:val="ro-R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 xml:space="preserve">Servicii </w:t>
            </w:r>
            <w:r w:rsidRPr="00F44BD2">
              <w:rPr>
                <w:rFonts w:ascii="Times New Roman" w:hAnsi="Times New Roman"/>
                <w:szCs w:val="28"/>
                <w:lang w:val="ro-RO"/>
              </w:rPr>
              <w:t>lăcătușărie și apeduct</w:t>
            </w:r>
          </w:p>
        </w:tc>
        <w:tc>
          <w:tcPr>
            <w:tcW w:w="2557" w:type="dxa"/>
          </w:tcPr>
          <w:p w:rsidR="00F44BD2" w:rsidRPr="00F44BD2" w:rsidRDefault="00F44BD2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06210224</w:t>
            </w:r>
          </w:p>
        </w:tc>
        <w:tc>
          <w:tcPr>
            <w:tcW w:w="1365" w:type="dxa"/>
            <w:noWrap/>
          </w:tcPr>
          <w:p w:rsidR="00F44BD2" w:rsidRPr="00F44BD2" w:rsidRDefault="00F44BD2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28.01.2015</w:t>
            </w:r>
          </w:p>
        </w:tc>
        <w:tc>
          <w:tcPr>
            <w:tcW w:w="1082" w:type="dxa"/>
            <w:noWrap/>
          </w:tcPr>
          <w:p w:rsidR="00F44BD2" w:rsidRPr="00F44BD2" w:rsidRDefault="00F44BD2" w:rsidP="0097632D">
            <w:pPr>
              <w:jc w:val="both"/>
              <w:rPr>
                <w:rFonts w:ascii="Times New Roman" w:hAnsi="Times New Roman"/>
                <w:szCs w:val="28"/>
                <w:lang w:val="ro-MO"/>
              </w:rPr>
            </w:pPr>
            <w:r w:rsidRPr="00F44BD2">
              <w:rPr>
                <w:rFonts w:ascii="Times New Roman" w:hAnsi="Times New Roman"/>
                <w:szCs w:val="28"/>
                <w:lang w:val="ro-MO"/>
              </w:rPr>
              <w:t>12,5</w:t>
            </w:r>
          </w:p>
        </w:tc>
      </w:tr>
    </w:tbl>
    <w:p w:rsidR="00C56C9B" w:rsidRPr="007E69A7" w:rsidRDefault="00C56C9B" w:rsidP="00C56C9B">
      <w:pPr>
        <w:jc w:val="both"/>
        <w:rPr>
          <w:sz w:val="28"/>
          <w:szCs w:val="28"/>
          <w:lang w:val="ro-MO"/>
        </w:rPr>
      </w:pPr>
    </w:p>
    <w:sectPr w:rsidR="00C56C9B" w:rsidRPr="007E69A7" w:rsidSect="004A33C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DBA"/>
      </v:shape>
    </w:pict>
  </w:numPicBullet>
  <w:abstractNum w:abstractNumId="0">
    <w:nsid w:val="00CB2A05"/>
    <w:multiLevelType w:val="hybridMultilevel"/>
    <w:tmpl w:val="22187ABC"/>
    <w:lvl w:ilvl="0" w:tplc="DDF0F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17EBF"/>
    <w:multiLevelType w:val="hybridMultilevel"/>
    <w:tmpl w:val="8720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0DB"/>
    <w:multiLevelType w:val="hybridMultilevel"/>
    <w:tmpl w:val="8F2E78AE"/>
    <w:lvl w:ilvl="0" w:tplc="99EA4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56E55"/>
    <w:multiLevelType w:val="hybridMultilevel"/>
    <w:tmpl w:val="13C01B3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0EEB7C88"/>
    <w:multiLevelType w:val="hybridMultilevel"/>
    <w:tmpl w:val="9496D6B2"/>
    <w:lvl w:ilvl="0" w:tplc="33688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76E16"/>
    <w:multiLevelType w:val="hybridMultilevel"/>
    <w:tmpl w:val="ABFC7370"/>
    <w:lvl w:ilvl="0" w:tplc="3BB86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20747"/>
    <w:multiLevelType w:val="hybridMultilevel"/>
    <w:tmpl w:val="ABCA02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10267F"/>
    <w:multiLevelType w:val="hybridMultilevel"/>
    <w:tmpl w:val="4484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508F9"/>
    <w:multiLevelType w:val="hybridMultilevel"/>
    <w:tmpl w:val="F02A0C12"/>
    <w:lvl w:ilvl="0" w:tplc="4D1228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2175C54"/>
    <w:multiLevelType w:val="hybridMultilevel"/>
    <w:tmpl w:val="0F36E3EE"/>
    <w:lvl w:ilvl="0" w:tplc="86E8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528A2"/>
    <w:multiLevelType w:val="multilevel"/>
    <w:tmpl w:val="CD5A9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38636BD"/>
    <w:multiLevelType w:val="hybridMultilevel"/>
    <w:tmpl w:val="533A5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22A05"/>
    <w:multiLevelType w:val="multilevel"/>
    <w:tmpl w:val="CD5A9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7F374FF"/>
    <w:multiLevelType w:val="hybridMultilevel"/>
    <w:tmpl w:val="5CFC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B3F4F"/>
    <w:multiLevelType w:val="hybridMultilevel"/>
    <w:tmpl w:val="031CBA46"/>
    <w:lvl w:ilvl="0" w:tplc="04190007">
      <w:start w:val="1"/>
      <w:numFmt w:val="bullet"/>
      <w:lvlText w:val=""/>
      <w:lvlPicBulletId w:val="0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5">
    <w:nsid w:val="572C7C5D"/>
    <w:multiLevelType w:val="hybridMultilevel"/>
    <w:tmpl w:val="79460488"/>
    <w:lvl w:ilvl="0" w:tplc="CED083B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581DC8"/>
    <w:multiLevelType w:val="hybridMultilevel"/>
    <w:tmpl w:val="BFB2C182"/>
    <w:lvl w:ilvl="0" w:tplc="7960D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2440BB"/>
    <w:multiLevelType w:val="hybridMultilevel"/>
    <w:tmpl w:val="0D90C486"/>
    <w:lvl w:ilvl="0" w:tplc="CA64F0A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BE2252D"/>
    <w:multiLevelType w:val="hybridMultilevel"/>
    <w:tmpl w:val="AB161B2A"/>
    <w:lvl w:ilvl="0" w:tplc="DDF0F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C2552"/>
    <w:multiLevelType w:val="hybridMultilevel"/>
    <w:tmpl w:val="4F62B702"/>
    <w:lvl w:ilvl="0" w:tplc="CA64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B03AB"/>
    <w:multiLevelType w:val="multilevel"/>
    <w:tmpl w:val="CD5A9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6EB55620"/>
    <w:multiLevelType w:val="hybridMultilevel"/>
    <w:tmpl w:val="8AE4F4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3B89"/>
    <w:multiLevelType w:val="hybridMultilevel"/>
    <w:tmpl w:val="583EA006"/>
    <w:lvl w:ilvl="0" w:tplc="65DAB7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7"/>
  </w:num>
  <w:num w:numId="8">
    <w:abstractNumId w:val="8"/>
  </w:num>
  <w:num w:numId="9">
    <w:abstractNumId w:val="7"/>
  </w:num>
  <w:num w:numId="10">
    <w:abstractNumId w:val="19"/>
  </w:num>
  <w:num w:numId="11">
    <w:abstractNumId w:val="0"/>
  </w:num>
  <w:num w:numId="12">
    <w:abstractNumId w:val="18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22"/>
  </w:num>
  <w:num w:numId="18">
    <w:abstractNumId w:val="15"/>
  </w:num>
  <w:num w:numId="19">
    <w:abstractNumId w:val="3"/>
  </w:num>
  <w:num w:numId="20">
    <w:abstractNumId w:val="14"/>
  </w:num>
  <w:num w:numId="21">
    <w:abstractNumId w:val="13"/>
  </w:num>
  <w:num w:numId="22">
    <w:abstractNumId w:val="4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E2"/>
    <w:rsid w:val="00007745"/>
    <w:rsid w:val="00010F67"/>
    <w:rsid w:val="00027C9B"/>
    <w:rsid w:val="00060E64"/>
    <w:rsid w:val="00067257"/>
    <w:rsid w:val="000B42D7"/>
    <w:rsid w:val="000B7E22"/>
    <w:rsid w:val="000C4322"/>
    <w:rsid w:val="000E5586"/>
    <w:rsid w:val="001018A5"/>
    <w:rsid w:val="001500A5"/>
    <w:rsid w:val="00157364"/>
    <w:rsid w:val="00167BFE"/>
    <w:rsid w:val="00180505"/>
    <w:rsid w:val="00187461"/>
    <w:rsid w:val="00193DA0"/>
    <w:rsid w:val="00194CDE"/>
    <w:rsid w:val="001B0F7C"/>
    <w:rsid w:val="001C11BA"/>
    <w:rsid w:val="001F6CCB"/>
    <w:rsid w:val="002046A4"/>
    <w:rsid w:val="00252A55"/>
    <w:rsid w:val="00255140"/>
    <w:rsid w:val="00273FBB"/>
    <w:rsid w:val="00277A7F"/>
    <w:rsid w:val="00281802"/>
    <w:rsid w:val="002902C0"/>
    <w:rsid w:val="00297A10"/>
    <w:rsid w:val="002A1E3A"/>
    <w:rsid w:val="002E5F80"/>
    <w:rsid w:val="003258A5"/>
    <w:rsid w:val="003346ED"/>
    <w:rsid w:val="0034249E"/>
    <w:rsid w:val="00346E01"/>
    <w:rsid w:val="00352447"/>
    <w:rsid w:val="003937E6"/>
    <w:rsid w:val="003A0D3D"/>
    <w:rsid w:val="003C0048"/>
    <w:rsid w:val="003F33ED"/>
    <w:rsid w:val="003F7EC8"/>
    <w:rsid w:val="00426158"/>
    <w:rsid w:val="0043242C"/>
    <w:rsid w:val="0043413F"/>
    <w:rsid w:val="004415C0"/>
    <w:rsid w:val="004446D4"/>
    <w:rsid w:val="00457AC3"/>
    <w:rsid w:val="00486D7F"/>
    <w:rsid w:val="00490826"/>
    <w:rsid w:val="004A33C5"/>
    <w:rsid w:val="004D34C2"/>
    <w:rsid w:val="00507AB5"/>
    <w:rsid w:val="005348F1"/>
    <w:rsid w:val="00546BFF"/>
    <w:rsid w:val="00556F96"/>
    <w:rsid w:val="00575DAC"/>
    <w:rsid w:val="00577C6C"/>
    <w:rsid w:val="00590047"/>
    <w:rsid w:val="005A487D"/>
    <w:rsid w:val="00613677"/>
    <w:rsid w:val="00620732"/>
    <w:rsid w:val="006215E4"/>
    <w:rsid w:val="00640700"/>
    <w:rsid w:val="006432B3"/>
    <w:rsid w:val="00665F20"/>
    <w:rsid w:val="006B3AEE"/>
    <w:rsid w:val="006C1E2D"/>
    <w:rsid w:val="006D7E9B"/>
    <w:rsid w:val="006E051C"/>
    <w:rsid w:val="007215C4"/>
    <w:rsid w:val="00736307"/>
    <w:rsid w:val="00760D1A"/>
    <w:rsid w:val="00791618"/>
    <w:rsid w:val="0079240C"/>
    <w:rsid w:val="0079359D"/>
    <w:rsid w:val="007C6D5A"/>
    <w:rsid w:val="007D32A1"/>
    <w:rsid w:val="007F6CE2"/>
    <w:rsid w:val="0081209F"/>
    <w:rsid w:val="00853F59"/>
    <w:rsid w:val="00866332"/>
    <w:rsid w:val="008D5CE5"/>
    <w:rsid w:val="008F6714"/>
    <w:rsid w:val="008F67F4"/>
    <w:rsid w:val="009001F6"/>
    <w:rsid w:val="009435A2"/>
    <w:rsid w:val="009436C7"/>
    <w:rsid w:val="00974685"/>
    <w:rsid w:val="00992E50"/>
    <w:rsid w:val="009938FB"/>
    <w:rsid w:val="009C2F03"/>
    <w:rsid w:val="009D1DC7"/>
    <w:rsid w:val="00A42344"/>
    <w:rsid w:val="00A64322"/>
    <w:rsid w:val="00A87DA7"/>
    <w:rsid w:val="00A92131"/>
    <w:rsid w:val="00AD5169"/>
    <w:rsid w:val="00AE7421"/>
    <w:rsid w:val="00AF064B"/>
    <w:rsid w:val="00B24581"/>
    <w:rsid w:val="00B645E7"/>
    <w:rsid w:val="00B7471A"/>
    <w:rsid w:val="00B9051A"/>
    <w:rsid w:val="00BA00C0"/>
    <w:rsid w:val="00BA4B29"/>
    <w:rsid w:val="00BC5DB8"/>
    <w:rsid w:val="00C431F8"/>
    <w:rsid w:val="00C5033C"/>
    <w:rsid w:val="00C55FB6"/>
    <w:rsid w:val="00C56C9B"/>
    <w:rsid w:val="00C82A4F"/>
    <w:rsid w:val="00CB5120"/>
    <w:rsid w:val="00CD20F4"/>
    <w:rsid w:val="00CE215C"/>
    <w:rsid w:val="00CE2C13"/>
    <w:rsid w:val="00D06BBD"/>
    <w:rsid w:val="00D1028B"/>
    <w:rsid w:val="00D162EA"/>
    <w:rsid w:val="00D359F6"/>
    <w:rsid w:val="00D87A56"/>
    <w:rsid w:val="00DA1936"/>
    <w:rsid w:val="00E31CE2"/>
    <w:rsid w:val="00E61F44"/>
    <w:rsid w:val="00E6527F"/>
    <w:rsid w:val="00E85C07"/>
    <w:rsid w:val="00EB5040"/>
    <w:rsid w:val="00F225AD"/>
    <w:rsid w:val="00F345DE"/>
    <w:rsid w:val="00F408FD"/>
    <w:rsid w:val="00F44BD2"/>
    <w:rsid w:val="00F50DE1"/>
    <w:rsid w:val="00F644AA"/>
    <w:rsid w:val="00F85E3A"/>
    <w:rsid w:val="00FA0BC8"/>
    <w:rsid w:val="00FA4F82"/>
    <w:rsid w:val="00FB60C7"/>
    <w:rsid w:val="00FC6704"/>
    <w:rsid w:val="00FE0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D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a4">
    <w:name w:val="Table Grid"/>
    <w:basedOn w:val="a1"/>
    <w:uiPriority w:val="59"/>
    <w:rsid w:val="004446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4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BA4B2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6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5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ro-RO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65F20"/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D4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a4">
    <w:name w:val="Table Grid"/>
    <w:basedOn w:val="a1"/>
    <w:uiPriority w:val="59"/>
    <w:rsid w:val="004446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44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BA4B2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6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65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ro-RO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65F20"/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alina.ixar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creature.mobile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lericdenta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rsuri@list.ru%20%20%20%20%20%20%20%200604497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C77D-B274-4D27-B415-4A12EBB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CUCLENCO</dc:creator>
  <cp:lastModifiedBy>Valentina</cp:lastModifiedBy>
  <cp:revision>2</cp:revision>
  <cp:lastPrinted>2018-01-24T15:04:00Z</cp:lastPrinted>
  <dcterms:created xsi:type="dcterms:W3CDTF">2019-06-04T12:41:00Z</dcterms:created>
  <dcterms:modified xsi:type="dcterms:W3CDTF">2019-06-04T12:41:00Z</dcterms:modified>
</cp:coreProperties>
</file>