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D1771" w:rsidRDefault="000D1771" w:rsidP="00AF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5A6F7A" w:rsidRPr="000D1771" w:rsidRDefault="005A6F7A" w:rsidP="005A6F7A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7A" w:rsidRPr="000D1771" w:rsidRDefault="005A6F7A" w:rsidP="005A6F7A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5A6F7A" w:rsidRPr="000D1771" w:rsidRDefault="005A6F7A" w:rsidP="005A6F7A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5A6F7A" w:rsidRPr="000D1771" w:rsidRDefault="005A6F7A" w:rsidP="005A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A6F7A" w:rsidRPr="000D1771" w:rsidRDefault="005A6F7A" w:rsidP="005A6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>DECIZIE nr. 2/1</w:t>
      </w:r>
      <w:r w:rsidR="005E714E" w:rsidRPr="000D1771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5A6F7A" w:rsidRPr="000D1771" w:rsidRDefault="005A6F7A" w:rsidP="005A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>din 17 mai 2018</w:t>
      </w:r>
    </w:p>
    <w:p w:rsidR="005A6F7A" w:rsidRPr="000D1771" w:rsidRDefault="005A6F7A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A6F7A" w:rsidRPr="000D1771" w:rsidRDefault="005A6F7A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 Cu privire la examinarea Raportului privind  rezultatele misiunii</w:t>
      </w: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de inspecție asupra modului de aplicare corectă și unitară a legilor</w:t>
      </w: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 și a altor acte normative care reglementează acordarea ajutorului social</w:t>
      </w: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și ajutorului pentru perioada rece a anului de către Direcția asistență socială </w:t>
      </w: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și protecția familiei a Consiliului raional Ștefan Vodă</w:t>
      </w: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23CC" w:rsidRPr="000D1771" w:rsidRDefault="00F023C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96FC3" w:rsidRPr="000D1771" w:rsidRDefault="005A6F7A" w:rsidP="0029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lang w:val="ro-MO"/>
        </w:rPr>
        <w:t xml:space="preserve">Aferent </w:t>
      </w:r>
      <w:r w:rsidR="00BE7521" w:rsidRPr="000D1771">
        <w:rPr>
          <w:rFonts w:ascii="Times New Roman" w:hAnsi="Times New Roman" w:cs="Times New Roman"/>
          <w:lang w:val="ro-MO"/>
        </w:rPr>
        <w:t xml:space="preserve">demersului Inspecției Sociale din cadrul Ministerului Sănătății, Muncii și Protecției Sociale </w:t>
      </w:r>
      <w:r w:rsidR="000D1771">
        <w:rPr>
          <w:rFonts w:ascii="Times New Roman" w:hAnsi="Times New Roman" w:cs="Times New Roman"/>
          <w:lang w:val="ro-MO"/>
        </w:rPr>
        <w:t>nr. 198 din 26.04.2018</w:t>
      </w:r>
      <w:r w:rsidR="00BE7521" w:rsidRPr="000D1771">
        <w:rPr>
          <w:rFonts w:ascii="Times New Roman" w:hAnsi="Times New Roman" w:cs="Times New Roman"/>
          <w:lang w:val="ro-MO"/>
        </w:rPr>
        <w:t xml:space="preserve"> pentru </w:t>
      </w:r>
      <w:r w:rsidR="00296FC3" w:rsidRPr="000D1771">
        <w:rPr>
          <w:rFonts w:ascii="Times New Roman" w:hAnsi="Times New Roman" w:cs="Times New Roman"/>
          <w:lang w:val="ro-MO"/>
        </w:rPr>
        <w:t xml:space="preserve">informare cu </w:t>
      </w:r>
      <w:r w:rsidR="00296FC3" w:rsidRPr="000D1771">
        <w:rPr>
          <w:rFonts w:ascii="Times New Roman" w:hAnsi="Times New Roman" w:cs="Times New Roman"/>
          <w:sz w:val="24"/>
          <w:szCs w:val="24"/>
          <w:lang w:val="ro-MO"/>
        </w:rPr>
        <w:t>Raportul privind rezultatele misiunii de inspecție asupra modului de aplicare corectă și unitară a legilor  și a altor acte normative care reglementează acordarea ajutorului social și ajutorului pentru perioada rece a anului de către Direcția asistență socială și protecția familiei a Consiliului raional Ștefan Vodă</w:t>
      </w:r>
      <w:r w:rsidR="000D177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A6F7A" w:rsidRPr="000D1771" w:rsidRDefault="005A6F7A" w:rsidP="005A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Ștefan Vodă </w:t>
      </w: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0D1771">
        <w:rPr>
          <w:rFonts w:ascii="Times New Roman" w:hAnsi="Times New Roman" w:cs="Times New Roman"/>
          <w:b/>
          <w:bCs/>
          <w:sz w:val="24"/>
          <w:szCs w:val="24"/>
          <w:lang w:val="ro-MO"/>
        </w:rPr>
        <w:t>:</w:t>
      </w:r>
    </w:p>
    <w:p w:rsidR="00A81BD5" w:rsidRPr="000D1771" w:rsidRDefault="005A6F7A" w:rsidP="00A8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1. Se ia act de </w:t>
      </w:r>
      <w:r w:rsidR="00A81BD5"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Raportul Inspecției Sociale </w:t>
      </w:r>
      <w:r w:rsidR="00A81BD5" w:rsidRPr="000D1771">
        <w:rPr>
          <w:rFonts w:ascii="Times New Roman" w:hAnsi="Times New Roman" w:cs="Times New Roman"/>
          <w:lang w:val="ro-MO"/>
        </w:rPr>
        <w:t>din cadrul Ministerului Sănătății, Muncii și Protecției Sociale</w:t>
      </w:r>
      <w:r w:rsidR="00A81BD5"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 privind rezultatele misiunii de inspecție asupra modului de aplicare corectă și unitară a legilor și a altor acte normative care reglementează acordarea ajutorului social și ajutorului pentru perioada rece a anului de către Direcția asistență socială și protecția familiei a Consiliului raional Ștefan Vodă.</w:t>
      </w:r>
    </w:p>
    <w:p w:rsidR="005A6F7A" w:rsidRPr="000D1771" w:rsidRDefault="00A81BD5" w:rsidP="005A6F7A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5A6F7A" w:rsidRPr="000D1771">
        <w:rPr>
          <w:rFonts w:ascii="Times New Roman" w:hAnsi="Times New Roman" w:cs="Times New Roman"/>
          <w:sz w:val="24"/>
          <w:szCs w:val="24"/>
          <w:lang w:val="ro-MO"/>
        </w:rPr>
        <w:t>. Se aprobă</w:t>
      </w:r>
      <w:r w:rsidR="005A6F7A" w:rsidRPr="000D1771">
        <w:rPr>
          <w:lang w:val="ro-MO"/>
        </w:rPr>
        <w:t xml:space="preserve"> </w:t>
      </w:r>
      <w:r w:rsidR="005A6F7A" w:rsidRPr="000D1771">
        <w:rPr>
          <w:rFonts w:ascii="Times New Roman" w:hAnsi="Times New Roman" w:cs="Times New Roman"/>
          <w:sz w:val="24"/>
          <w:szCs w:val="24"/>
          <w:lang w:val="ro-MO"/>
        </w:rPr>
        <w:t>Programul de acțiuni</w:t>
      </w:r>
      <w:r w:rsidR="0063442C" w:rsidRPr="000D1771">
        <w:rPr>
          <w:rFonts w:ascii="Times New Roman" w:hAnsi="Times New Roman" w:cs="Times New Roman"/>
          <w:lang w:val="ro-MO"/>
        </w:rPr>
        <w:t xml:space="preserve"> privind măsurile care urmează a fi întreprinse în vederea remedierii neregulilor constatate în cadrul misiunii de inspecție</w:t>
      </w:r>
      <w:r w:rsidR="005A6F7A" w:rsidRPr="000D1771">
        <w:rPr>
          <w:rFonts w:ascii="Times New Roman" w:hAnsi="Times New Roman" w:cs="Times New Roman"/>
          <w:lang w:val="ro-MO"/>
        </w:rPr>
        <w:t xml:space="preserve">, </w:t>
      </w:r>
      <w:r w:rsidR="005A6F7A" w:rsidRPr="000D1771">
        <w:rPr>
          <w:rFonts w:ascii="Times New Roman" w:hAnsi="Times New Roman" w:cs="Times New Roman"/>
          <w:i/>
          <w:lang w:val="ro-MO"/>
        </w:rPr>
        <w:t>conform anexei</w:t>
      </w:r>
      <w:r w:rsidR="005A6F7A" w:rsidRPr="000D1771">
        <w:rPr>
          <w:rFonts w:ascii="Times New Roman" w:hAnsi="Times New Roman" w:cs="Times New Roman"/>
          <w:lang w:val="ro-MO"/>
        </w:rPr>
        <w:t xml:space="preserve">. </w:t>
      </w:r>
    </w:p>
    <w:p w:rsidR="00B55603" w:rsidRPr="000D1771" w:rsidRDefault="00B55603" w:rsidP="005A6F7A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>3. Direcția Asistență Socială și Protecția Familiei Ștefan Vodă:</w:t>
      </w:r>
    </w:p>
    <w:p w:rsidR="00B55603" w:rsidRPr="000D1771" w:rsidRDefault="00B55603" w:rsidP="005A6F7A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>3.1.</w:t>
      </w:r>
      <w:r w:rsidR="00D1333A" w:rsidRPr="000D1771">
        <w:rPr>
          <w:rFonts w:ascii="Times New Roman" w:hAnsi="Times New Roman" w:cs="Times New Roman"/>
          <w:lang w:val="ro-MO"/>
        </w:rPr>
        <w:t xml:space="preserve"> V</w:t>
      </w:r>
      <w:r w:rsidRPr="000D1771">
        <w:rPr>
          <w:rFonts w:ascii="Times New Roman" w:hAnsi="Times New Roman" w:cs="Times New Roman"/>
          <w:lang w:val="ro-MO"/>
        </w:rPr>
        <w:t>a asigura implementarea recomandărilor expuse în rapoartele individuale de inspecție pentru cererile constatate</w:t>
      </w:r>
      <w:r w:rsidR="00D1333A" w:rsidRPr="000D1771">
        <w:rPr>
          <w:rFonts w:ascii="Times New Roman" w:hAnsi="Times New Roman" w:cs="Times New Roman"/>
          <w:lang w:val="ro-MO"/>
        </w:rPr>
        <w:t xml:space="preserve"> cu iregularități.</w:t>
      </w:r>
    </w:p>
    <w:p w:rsidR="00D1333A" w:rsidRPr="000D1771" w:rsidRDefault="00D1333A" w:rsidP="005A6F7A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 xml:space="preserve">3.2. </w:t>
      </w:r>
      <w:r w:rsidR="00C8003A" w:rsidRPr="000D1771">
        <w:rPr>
          <w:rFonts w:ascii="Times New Roman" w:hAnsi="Times New Roman" w:cs="Times New Roman"/>
          <w:lang w:val="ro-MO"/>
        </w:rPr>
        <w:t>Va asigura responsabilizarea asistenților sociali și specialistului în administrarea ajutorului social în vederea respectării prevederilor legale la acceptarea, înregistrarea și procesarea cererilor.</w:t>
      </w:r>
    </w:p>
    <w:p w:rsidR="00C8003A" w:rsidRPr="000D1771" w:rsidRDefault="00C8003A" w:rsidP="005A6F7A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>3.3. De comun cu autoritățile publice locale, va asigura o conlucrare eficientă privind corectitudinea eliberării certificatelor confirmative, inclusiv privind terenurile agricole din intravilanul și extravilanul localității, deținute de solicitanți</w:t>
      </w:r>
      <w:r w:rsidR="007D27DA" w:rsidRPr="000D1771">
        <w:rPr>
          <w:rFonts w:ascii="Times New Roman" w:hAnsi="Times New Roman" w:cs="Times New Roman"/>
          <w:lang w:val="ro-MO"/>
        </w:rPr>
        <w:t>i de prestații sociale în conformitate cu Codul Funciar și alte acte normative.</w:t>
      </w:r>
    </w:p>
    <w:p w:rsidR="00270016" w:rsidRPr="000D1771" w:rsidRDefault="00270016" w:rsidP="005A6F7A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>3.4. Va prezenta Inspecției Sociale, în termen de 30 de zile lucrătoare</w:t>
      </w:r>
      <w:r w:rsidR="00D745B9" w:rsidRPr="000D1771">
        <w:rPr>
          <w:rFonts w:ascii="Times New Roman" w:hAnsi="Times New Roman" w:cs="Times New Roman"/>
          <w:lang w:val="ro-MO"/>
        </w:rPr>
        <w:t xml:space="preserve">, programul de acțiuni privind </w:t>
      </w:r>
      <w:r w:rsidR="0063442C" w:rsidRPr="000D1771">
        <w:rPr>
          <w:rFonts w:ascii="Times New Roman" w:hAnsi="Times New Roman" w:cs="Times New Roman"/>
          <w:lang w:val="ro-MO"/>
        </w:rPr>
        <w:t>măsurile care urmează a fi întreprinse în vederea remedierii neregulilor constatate în cadrul misiunii de inspecție.</w:t>
      </w:r>
    </w:p>
    <w:p w:rsidR="005A6F7A" w:rsidRPr="000D1771" w:rsidRDefault="0063442C" w:rsidP="005A6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5A6F7A"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Pr="000D1771">
        <w:rPr>
          <w:rFonts w:ascii="Times New Roman" w:hAnsi="Times New Roman" w:cs="Times New Roman"/>
          <w:sz w:val="24"/>
          <w:szCs w:val="24"/>
          <w:lang w:val="ro-MO"/>
        </w:rPr>
        <w:t>Vasile Gherman,</w:t>
      </w:r>
      <w:r w:rsidR="005A6F7A"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D1771">
        <w:rPr>
          <w:rFonts w:ascii="Times New Roman" w:hAnsi="Times New Roman" w:cs="Times New Roman"/>
          <w:sz w:val="24"/>
          <w:szCs w:val="24"/>
          <w:lang w:val="ro-MO"/>
        </w:rPr>
        <w:t>vice</w:t>
      </w:r>
      <w:r w:rsidR="005A6F7A" w:rsidRPr="000D1771">
        <w:rPr>
          <w:rFonts w:ascii="Times New Roman" w:hAnsi="Times New Roman" w:cs="Times New Roman"/>
          <w:sz w:val="24"/>
          <w:szCs w:val="24"/>
          <w:lang w:val="ro-MO"/>
        </w:rPr>
        <w:t>președintele raionului.</w:t>
      </w:r>
    </w:p>
    <w:p w:rsidR="005A6F7A" w:rsidRPr="000D1771" w:rsidRDefault="0063442C" w:rsidP="005A6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5A6F7A"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. Prezenta decizie se aduce la cunoştinţă: </w:t>
      </w:r>
    </w:p>
    <w:p w:rsidR="005A6F7A" w:rsidRPr="000D1771" w:rsidRDefault="005A6F7A" w:rsidP="005A6F7A">
      <w:pPr>
        <w:pStyle w:val="a3"/>
        <w:tabs>
          <w:tab w:val="left" w:pos="2160"/>
        </w:tabs>
        <w:spacing w:after="0" w:line="240" w:lineRule="auto"/>
        <w:ind w:left="645" w:firstLine="43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5A6F7A" w:rsidRPr="000D1771" w:rsidRDefault="005A6F7A" w:rsidP="005A6F7A">
      <w:pPr>
        <w:pStyle w:val="a3"/>
        <w:tabs>
          <w:tab w:val="left" w:pos="2160"/>
        </w:tabs>
        <w:spacing w:after="0" w:line="240" w:lineRule="auto"/>
        <w:ind w:left="645" w:firstLine="43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Inspecției </w:t>
      </w:r>
      <w:r w:rsidR="0063442C" w:rsidRPr="000D1771">
        <w:rPr>
          <w:rFonts w:ascii="Times New Roman" w:hAnsi="Times New Roman" w:cs="Times New Roman"/>
          <w:sz w:val="24"/>
          <w:szCs w:val="24"/>
          <w:lang w:val="ro-MO"/>
        </w:rPr>
        <w:t>Sociale</w:t>
      </w: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5A6F7A" w:rsidRPr="000D1771" w:rsidRDefault="005A6F7A" w:rsidP="005A6F7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Aparatul</w:t>
      </w:r>
      <w:r w:rsidR="000D1771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 preşedintelui raionului;</w:t>
      </w:r>
    </w:p>
    <w:p w:rsidR="005A6F7A" w:rsidRPr="000D1771" w:rsidRDefault="005A6F7A" w:rsidP="005A6F7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5A6F7A" w:rsidRPr="000D1771" w:rsidRDefault="005A6F7A" w:rsidP="005A6F7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0D1771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0D1771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5A6F7A" w:rsidRPr="000D1771" w:rsidRDefault="005A6F7A" w:rsidP="005A6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A6F7A" w:rsidRPr="000D1771" w:rsidRDefault="005A6F7A" w:rsidP="005A6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3442C" w:rsidRPr="000D1771" w:rsidRDefault="005A6F7A" w:rsidP="005A6F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Preşedintele şedinţei                                                               </w:t>
      </w:r>
      <w:r w:rsidR="005E714E" w:rsidRPr="000D17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="005E714E" w:rsidRPr="000D1771">
        <w:rPr>
          <w:rFonts w:ascii="Times New Roman" w:hAnsi="Times New Roman" w:cs="Times New Roman"/>
          <w:b/>
          <w:sz w:val="24"/>
          <w:szCs w:val="24"/>
          <w:lang w:val="ro-MO"/>
        </w:rPr>
        <w:t>Anatolie Cîrnu</w:t>
      </w:r>
    </w:p>
    <w:p w:rsidR="005A6F7A" w:rsidRPr="000D1771" w:rsidRDefault="005A6F7A" w:rsidP="005A6F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   </w:t>
      </w:r>
      <w:r w:rsidRPr="000D177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Contrasemnează:                                                    </w:t>
      </w:r>
    </w:p>
    <w:p w:rsidR="005A6F7A" w:rsidRPr="000D1771" w:rsidRDefault="005A6F7A" w:rsidP="005A6F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Secretarul Consiliului raional                                           </w:t>
      </w:r>
      <w:r w:rsidR="005E714E" w:rsidRPr="000D17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Ion Ţurcan</w:t>
      </w:r>
    </w:p>
    <w:p w:rsidR="00F02310" w:rsidRPr="000D1771" w:rsidRDefault="00F02310" w:rsidP="005A6F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2310" w:rsidRPr="000D1771" w:rsidRDefault="00F02310" w:rsidP="005A6F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E714E" w:rsidRPr="000D1771" w:rsidRDefault="005E714E" w:rsidP="00F0231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5E714E" w:rsidRPr="000D1771" w:rsidRDefault="005E714E" w:rsidP="00F0231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F02310" w:rsidRPr="000D1771" w:rsidRDefault="00F02310" w:rsidP="00F0231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0D1771">
        <w:rPr>
          <w:rFonts w:ascii="Times New Roman" w:hAnsi="Times New Roman" w:cs="Times New Roman"/>
          <w:b/>
          <w:lang w:val="ro-MO"/>
        </w:rPr>
        <w:t xml:space="preserve">Anexa </w:t>
      </w:r>
    </w:p>
    <w:p w:rsidR="00F02310" w:rsidRPr="000D1771" w:rsidRDefault="00F02310" w:rsidP="00F02310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>la</w:t>
      </w:r>
      <w:r w:rsidRPr="000D1771">
        <w:rPr>
          <w:rFonts w:ascii="Times New Roman" w:hAnsi="Times New Roman" w:cs="Times New Roman"/>
          <w:b/>
          <w:lang w:val="ro-MO"/>
        </w:rPr>
        <w:t xml:space="preserve"> </w:t>
      </w:r>
      <w:r w:rsidRPr="000D1771">
        <w:rPr>
          <w:rFonts w:ascii="Times New Roman" w:hAnsi="Times New Roman" w:cs="Times New Roman"/>
          <w:lang w:val="ro-MO"/>
        </w:rPr>
        <w:t>decizia Consiliului raional Ştefan Vodă</w:t>
      </w:r>
    </w:p>
    <w:p w:rsidR="00F02310" w:rsidRPr="000D1771" w:rsidRDefault="00F02310" w:rsidP="00F02310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>nr. 2/1</w:t>
      </w:r>
      <w:r w:rsidR="005E714E" w:rsidRPr="000D1771">
        <w:rPr>
          <w:rFonts w:ascii="Times New Roman" w:hAnsi="Times New Roman" w:cs="Times New Roman"/>
          <w:lang w:val="ro-MO"/>
        </w:rPr>
        <w:t>5</w:t>
      </w:r>
      <w:r w:rsidRPr="000D1771">
        <w:rPr>
          <w:rFonts w:ascii="Times New Roman" w:hAnsi="Times New Roman" w:cs="Times New Roman"/>
          <w:lang w:val="ro-MO"/>
        </w:rPr>
        <w:t xml:space="preserve"> din 17 mai 2018</w:t>
      </w:r>
    </w:p>
    <w:p w:rsidR="00F02310" w:rsidRPr="000D1771" w:rsidRDefault="00F02310" w:rsidP="00F02310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A6F7A" w:rsidRPr="000D1771" w:rsidRDefault="005A6F7A" w:rsidP="005A6F7A">
      <w:pPr>
        <w:spacing w:after="0"/>
        <w:ind w:left="567"/>
        <w:rPr>
          <w:lang w:val="ro-MO"/>
        </w:rPr>
      </w:pPr>
    </w:p>
    <w:p w:rsidR="00717166" w:rsidRPr="000D1771" w:rsidRDefault="00717166" w:rsidP="0071716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>Planul de acțiuni</w:t>
      </w:r>
    </w:p>
    <w:p w:rsidR="00717166" w:rsidRPr="000D1771" w:rsidRDefault="00717166" w:rsidP="0071716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1771">
        <w:rPr>
          <w:rFonts w:ascii="Times New Roman" w:hAnsi="Times New Roman" w:cs="Times New Roman"/>
          <w:b/>
          <w:sz w:val="24"/>
          <w:szCs w:val="24"/>
          <w:lang w:val="ro-MO"/>
        </w:rPr>
        <w:t>privind lichidarea lacunelor depistate în cadrul inspecției planificate privind modul de aplicare corectă și unitară a legii și a altor acte normative care reglementează acordarea ajutorului social și ajutorului pentru perioada rece a anului</w:t>
      </w:r>
    </w:p>
    <w:p w:rsidR="00717166" w:rsidRPr="000D1771" w:rsidRDefault="00717166" w:rsidP="0071716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465"/>
        <w:gridCol w:w="30"/>
        <w:gridCol w:w="5682"/>
        <w:gridCol w:w="1511"/>
        <w:gridCol w:w="1911"/>
      </w:tblGrid>
      <w:tr w:rsidR="00717166" w:rsidRPr="000D1771" w:rsidTr="003C3BFD">
        <w:tc>
          <w:tcPr>
            <w:tcW w:w="10599" w:type="dxa"/>
            <w:gridSpan w:val="5"/>
          </w:tcPr>
          <w:p w:rsidR="00717166" w:rsidRPr="000D1771" w:rsidRDefault="00717166" w:rsidP="00717166">
            <w:pPr>
              <w:tabs>
                <w:tab w:val="left" w:pos="5580"/>
              </w:tabs>
              <w:ind w:right="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Obiectivul 1: Îmbunătățirea procesului de instruire și monitorizare a asistenților sociali comunitari</w:t>
            </w:r>
          </w:p>
        </w:tc>
      </w:tr>
      <w:tr w:rsidR="00717166" w:rsidRPr="000D1771" w:rsidTr="003C3BFD">
        <w:tc>
          <w:tcPr>
            <w:tcW w:w="1719" w:type="dxa"/>
          </w:tcPr>
          <w:p w:rsidR="00717166" w:rsidRPr="000D1771" w:rsidRDefault="00717166" w:rsidP="00AE60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Acțiuni</w:t>
            </w:r>
          </w:p>
        </w:tc>
        <w:tc>
          <w:tcPr>
            <w:tcW w:w="6078" w:type="dxa"/>
            <w:gridSpan w:val="2"/>
          </w:tcPr>
          <w:p w:rsidR="00717166" w:rsidRPr="000D1771" w:rsidRDefault="00717166" w:rsidP="00AE60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Subacțiuni</w:t>
            </w:r>
          </w:p>
        </w:tc>
        <w:tc>
          <w:tcPr>
            <w:tcW w:w="1346" w:type="dxa"/>
          </w:tcPr>
          <w:p w:rsidR="00717166" w:rsidRPr="000D1771" w:rsidRDefault="00717166" w:rsidP="00AE60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Termeni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Responsabili</w:t>
            </w:r>
          </w:p>
        </w:tc>
      </w:tr>
      <w:tr w:rsidR="00717166" w:rsidRPr="000D1771" w:rsidTr="003C3BFD">
        <w:tc>
          <w:tcPr>
            <w:tcW w:w="1719" w:type="dxa"/>
            <w:vMerge w:val="restart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1.1 Respectarea cadrului legal privind acordarea ajutorului social </w:t>
            </w:r>
          </w:p>
        </w:tc>
        <w:tc>
          <w:tcPr>
            <w:tcW w:w="6078" w:type="dxa"/>
            <w:gridSpan w:val="2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1.1.1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Organizarea și desfășurarea unui seminar, în parteneriat cu Inspecția socială pentru asistenții sociali comunitari</w:t>
            </w:r>
          </w:p>
        </w:tc>
        <w:tc>
          <w:tcPr>
            <w:tcW w:w="1346" w:type="dxa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Aprilie 2018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Aurica Cebotari, șef DASPF</w:t>
            </w:r>
          </w:p>
        </w:tc>
      </w:tr>
      <w:tr w:rsidR="00717166" w:rsidRPr="000D1771" w:rsidTr="003C3BFD">
        <w:tc>
          <w:tcPr>
            <w:tcW w:w="1719" w:type="dxa"/>
            <w:vMerge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078" w:type="dxa"/>
            <w:gridSpan w:val="2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1.1.2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0D1771"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Întreprinderea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măsurilor de restituire a plăților achitate nejustificat</w:t>
            </w:r>
          </w:p>
        </w:tc>
        <w:tc>
          <w:tcPr>
            <w:tcW w:w="1346" w:type="dxa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 parcursul anului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Maia Osipov, specialist</w:t>
            </w:r>
          </w:p>
        </w:tc>
      </w:tr>
      <w:tr w:rsidR="00717166" w:rsidRPr="000D1771" w:rsidTr="003C3BFD">
        <w:tc>
          <w:tcPr>
            <w:tcW w:w="1719" w:type="dxa"/>
            <w:vMerge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078" w:type="dxa"/>
            <w:gridSpan w:val="2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1.1.3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Organizarea și desfășurarea întrunirilor cu beneficiarii de ajutor social din fiecare localitate</w:t>
            </w:r>
          </w:p>
        </w:tc>
        <w:tc>
          <w:tcPr>
            <w:tcW w:w="1346" w:type="dxa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August-noiembrie 2018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Rodica Verebcean, sef serviciu</w:t>
            </w:r>
          </w:p>
        </w:tc>
      </w:tr>
      <w:tr w:rsidR="00717166" w:rsidRPr="000D1771" w:rsidTr="003C3BFD">
        <w:tc>
          <w:tcPr>
            <w:tcW w:w="1719" w:type="dxa"/>
            <w:vMerge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078" w:type="dxa"/>
            <w:gridSpan w:val="2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1.1.4 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Intensificarea lucrului cu beneficiarii de ajutor social pentru neadmiterea declarărilor eronate în cererea de ajutor social</w:t>
            </w: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346" w:type="dxa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 parcursul anului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Asistenții sociali comunitari</w:t>
            </w:r>
          </w:p>
        </w:tc>
      </w:tr>
      <w:tr w:rsidR="00717166" w:rsidRPr="000D1771" w:rsidTr="003C3BFD">
        <w:tc>
          <w:tcPr>
            <w:tcW w:w="10599" w:type="dxa"/>
            <w:gridSpan w:val="5"/>
          </w:tcPr>
          <w:p w:rsidR="00717166" w:rsidRPr="000D1771" w:rsidRDefault="00717166" w:rsidP="003C3BFD">
            <w:pPr>
              <w:tabs>
                <w:tab w:val="left" w:pos="5580"/>
              </w:tabs>
              <w:ind w:left="-108" w:right="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Obiectivul 2:Conlucrarea eficientă cu APL privind corectitudinea eliberării certificatelor </w:t>
            </w:r>
            <w:r w:rsidR="003C3BFD"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</w:t>
            </w: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nfirmative </w:t>
            </w:r>
          </w:p>
        </w:tc>
      </w:tr>
      <w:tr w:rsidR="00717166" w:rsidRPr="000D1771" w:rsidTr="003C3BFD">
        <w:tc>
          <w:tcPr>
            <w:tcW w:w="1821" w:type="dxa"/>
            <w:gridSpan w:val="2"/>
            <w:vMerge w:val="restart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2.1. Aplicarea corectă a legislației în vigoare  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2.1.1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Responsabilizarea specialiștilor pentru reglementarea regimului funciar la eliberarea certificatelor de confirmare a dreptului asupra terenurilor deținute de familie 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 parcursul anului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Aurica Cebotari, șef DASPF</w:t>
            </w:r>
          </w:p>
        </w:tc>
      </w:tr>
      <w:tr w:rsidR="00717166" w:rsidRPr="000D1771" w:rsidTr="003C3BFD">
        <w:tc>
          <w:tcPr>
            <w:tcW w:w="1821" w:type="dxa"/>
            <w:gridSpan w:val="2"/>
            <w:vMerge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0" w:type="auto"/>
          </w:tcPr>
          <w:p w:rsidR="00717166" w:rsidRPr="000D1771" w:rsidRDefault="00717166" w:rsidP="003C3BFD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2.1.2 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Organizarea unui seminar informativ cu speciali</w:t>
            </w:r>
            <w:r w:rsidR="003C3BFD"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tii pentru reglementarea regimului funciar referitor la completarea certificatelor de proprietate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Iunie 2018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Aurica Cebotari, șef DASPF</w:t>
            </w:r>
          </w:p>
        </w:tc>
      </w:tr>
      <w:tr w:rsidR="00717166" w:rsidRPr="000D1771" w:rsidTr="003C3BFD">
        <w:tc>
          <w:tcPr>
            <w:tcW w:w="1821" w:type="dxa"/>
            <w:gridSpan w:val="2"/>
            <w:vMerge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2.1.3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Participarea la seminarele organizate cu agenții economici pentru explicarea corectitudinii completării adeverințelor de salariu</w:t>
            </w:r>
          </w:p>
        </w:tc>
        <w:tc>
          <w:tcPr>
            <w:tcW w:w="0" w:type="auto"/>
          </w:tcPr>
          <w:p w:rsidR="00717166" w:rsidRPr="000D1771" w:rsidRDefault="000D1771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Iunie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717166"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octombrie 2018</w:t>
            </w:r>
          </w:p>
        </w:tc>
        <w:tc>
          <w:tcPr>
            <w:tcW w:w="0" w:type="auto"/>
          </w:tcPr>
          <w:p w:rsidR="00717166" w:rsidRPr="000D1771" w:rsidRDefault="00717166" w:rsidP="00AE60FC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177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Aurica Cebotari, șef DASPF</w:t>
            </w:r>
          </w:p>
        </w:tc>
      </w:tr>
    </w:tbl>
    <w:p w:rsidR="00717166" w:rsidRPr="000D1771" w:rsidRDefault="00717166" w:rsidP="0071716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lang w:val="ro-MO"/>
        </w:rPr>
      </w:pPr>
      <w:r w:rsidRPr="000D1771">
        <w:rPr>
          <w:rFonts w:ascii="Times New Roman" w:hAnsi="Times New Roman" w:cs="Times New Roman"/>
          <w:lang w:val="ro-MO"/>
        </w:rPr>
        <w:t xml:space="preserve"> </w:t>
      </w:r>
    </w:p>
    <w:p w:rsidR="00717166" w:rsidRPr="000D1771" w:rsidRDefault="00717166" w:rsidP="0071716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</w:p>
    <w:p w:rsidR="005A6F7A" w:rsidRPr="000D1771" w:rsidRDefault="005A6F7A" w:rsidP="0071716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</w:p>
    <w:sectPr w:rsidR="005A6F7A" w:rsidRPr="000D1771" w:rsidSect="0063442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609"/>
    <w:multiLevelType w:val="multilevel"/>
    <w:tmpl w:val="ECEE1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D955C3D"/>
    <w:multiLevelType w:val="multilevel"/>
    <w:tmpl w:val="9888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0A7571"/>
    <w:multiLevelType w:val="hybridMultilevel"/>
    <w:tmpl w:val="5C8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4194"/>
    <w:rsid w:val="0001377C"/>
    <w:rsid w:val="000D1771"/>
    <w:rsid w:val="00270016"/>
    <w:rsid w:val="00296FC3"/>
    <w:rsid w:val="003C3BFD"/>
    <w:rsid w:val="005A6F7A"/>
    <w:rsid w:val="005C1AF4"/>
    <w:rsid w:val="005E714E"/>
    <w:rsid w:val="0063442C"/>
    <w:rsid w:val="00685C7E"/>
    <w:rsid w:val="00717166"/>
    <w:rsid w:val="007D27DA"/>
    <w:rsid w:val="0086585C"/>
    <w:rsid w:val="009E23EC"/>
    <w:rsid w:val="00A81BD5"/>
    <w:rsid w:val="00AF4194"/>
    <w:rsid w:val="00B55603"/>
    <w:rsid w:val="00BE7521"/>
    <w:rsid w:val="00C8003A"/>
    <w:rsid w:val="00D1333A"/>
    <w:rsid w:val="00D745B9"/>
    <w:rsid w:val="00DC19FD"/>
    <w:rsid w:val="00F02310"/>
    <w:rsid w:val="00F023CC"/>
    <w:rsid w:val="00F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6F7A"/>
  </w:style>
  <w:style w:type="paragraph" w:styleId="a5">
    <w:name w:val="List Paragraph"/>
    <w:basedOn w:val="a"/>
    <w:uiPriority w:val="34"/>
    <w:qFormat/>
    <w:rsid w:val="005A6F7A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F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2018-05-10T06:48:00Z</cp:lastPrinted>
  <dcterms:created xsi:type="dcterms:W3CDTF">2018-05-24T08:24:00Z</dcterms:created>
  <dcterms:modified xsi:type="dcterms:W3CDTF">2018-05-24T08:28:00Z</dcterms:modified>
</cp:coreProperties>
</file>