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341142" w:rsidRDefault="00456186" w:rsidP="0045618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1081"/>
        <w:tblW w:w="5015" w:type="pct"/>
        <w:tblLook w:val="04A0"/>
      </w:tblPr>
      <w:tblGrid>
        <w:gridCol w:w="9886"/>
      </w:tblGrid>
      <w:tr w:rsidR="00456186" w:rsidRPr="00341142" w:rsidTr="00456186">
        <w:trPr>
          <w:trHeight w:val="828"/>
        </w:trPr>
        <w:tc>
          <w:tcPr>
            <w:tcW w:w="5000" w:type="pct"/>
            <w:hideMark/>
          </w:tcPr>
          <w:p w:rsidR="00456186" w:rsidRPr="00341142" w:rsidRDefault="00456186">
            <w:pPr>
              <w:spacing w:after="0"/>
              <w:jc w:val="center"/>
              <w:rPr>
                <w:lang w:val="ro-MO" w:eastAsia="ru-RU"/>
              </w:rPr>
            </w:pPr>
            <w:r w:rsidRPr="00341142">
              <w:rPr>
                <w:noProof/>
                <w:lang w:val="ru-RU" w:eastAsia="ru-RU"/>
              </w:rPr>
              <w:drawing>
                <wp:inline distT="0" distB="0" distL="0" distR="0">
                  <wp:extent cx="981075" cy="781050"/>
                  <wp:effectExtent l="1905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186" w:rsidRPr="00341142" w:rsidRDefault="0045618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4114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56186" w:rsidRPr="00341142" w:rsidRDefault="0045618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341142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56186" w:rsidRPr="00341142" w:rsidRDefault="00456186" w:rsidP="00456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7/4</w:t>
      </w:r>
    </w:p>
    <w:p w:rsidR="00456186" w:rsidRPr="00341142" w:rsidRDefault="00456186" w:rsidP="00456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decembrie 2017</w:t>
      </w:r>
    </w:p>
    <w:p w:rsidR="00177ACB" w:rsidRPr="00341142" w:rsidRDefault="00177ACB" w:rsidP="00177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77ACB" w:rsidRPr="00341142" w:rsidRDefault="00177ACB" w:rsidP="00177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Cu privire la executarea bugetului raional </w:t>
      </w:r>
    </w:p>
    <w:p w:rsidR="00177ACB" w:rsidRPr="00341142" w:rsidRDefault="00177ACB" w:rsidP="00177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pentru 9 luni ale anului 2017</w:t>
      </w:r>
    </w:p>
    <w:p w:rsidR="00177ACB" w:rsidRPr="00341142" w:rsidRDefault="00177ACB" w:rsidP="00177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77ACB" w:rsidRPr="00341142" w:rsidRDefault="00177ACB" w:rsidP="00177A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În conformitate cu prevederile art. 72 alin. (2) din Legea nr. 181 din 25 iulie 2014 finanţelor publice și responsabilității bugetar-fiscale și art. 28 alin .(3) din Legea nr. 397-XV din 16 octombrie 2003 privind finanţele publice locale, cu modificările şi completările ulterioare;</w:t>
      </w:r>
    </w:p>
    <w:p w:rsidR="00177ACB" w:rsidRPr="00341142" w:rsidRDefault="00177ACB" w:rsidP="00177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   În baza art. 43 alin. (1) lit. b) şi art. 46 alin.(1) din Legea nr. 436-XVI din 28 decembrie 2006  privind administraţia publică locală, Consiliul raional Ştefan Vodă, </w:t>
      </w:r>
      <w:r w:rsidRPr="00341142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77ACB" w:rsidRPr="00341142" w:rsidRDefault="002A2717" w:rsidP="002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177ACB" w:rsidRPr="00341142">
        <w:rPr>
          <w:rFonts w:ascii="Times New Roman" w:hAnsi="Times New Roman" w:cs="Times New Roman"/>
          <w:sz w:val="24"/>
          <w:szCs w:val="24"/>
          <w:lang w:val="ro-MO"/>
        </w:rPr>
        <w:t>Se ia act de raportul dnei Ina Caliman‚ şef al direcţiei finanţe, privind executarea bugetului raional pentru 9 luni ale anului 2017, conform anexelor.</w:t>
      </w:r>
    </w:p>
    <w:p w:rsidR="00177ACB" w:rsidRPr="00341142" w:rsidRDefault="002A2717" w:rsidP="002A271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177ACB" w:rsidRPr="00341142">
        <w:rPr>
          <w:rFonts w:ascii="Times New Roman" w:hAnsi="Times New Roman" w:cs="Times New Roman"/>
          <w:sz w:val="24"/>
          <w:szCs w:val="24"/>
          <w:lang w:val="ro-MO"/>
        </w:rPr>
        <w:t>Preşedintele raionului, în comun cu Direcţia finanţe:</w:t>
      </w:r>
    </w:p>
    <w:p w:rsidR="00177ACB" w:rsidRPr="00341142" w:rsidRDefault="00177ACB" w:rsidP="00F5049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vor consolida eforturile tuturor executorilor de buget în vederea asigurării unei bune gestionări a mijloacelor bugetare </w:t>
      </w:r>
      <w:r w:rsidR="00341142" w:rsidRPr="0034114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la finele anului 2017;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vor contribui la îndeplinirea părţii veniturilor bugetului raional pe anul 2017;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vor asigura elaborarea şi realizarea măsurilor de ajustare a cheltuielilor bugetului raional în scopul abţinerii pe deplin de efectuarea </w:t>
      </w:r>
      <w:r w:rsidR="00341142" w:rsidRPr="0034114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la finele anului unor cheltuieli neînsemnate ale  instituţiilor  publice; 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vor asigura efectuarea controalelor tematice, în caz de necesitate, asupra respectării disciplinei financiare în procesul de executare a bugetului raionului în trimestrul IV ale anului 2017;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vor continua întreprinderea măsurilor </w:t>
      </w:r>
      <w:r w:rsidR="00341142" w:rsidRPr="0034114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la finele anului 2017 în scopul optimizării cheltuielilor, respectării lim</w:t>
      </w:r>
      <w:r w:rsidR="005B091E" w:rsidRPr="003411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telor de alocaţii bugetare şi neadmiterii supracheltuielilor; 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vor întreprinde măsuri întru st</w:t>
      </w:r>
      <w:r w:rsidR="005B091E" w:rsidRPr="003411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>ngerea datoriilor debitoare şi creditoare (cu termen de achitare expirat) existente la situaţia din 30.09.2017 şi neadmiterea formării lor pe viitor;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vor înainta propuneri privind rectificarea bugetului raional aprobat, după caz;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clear" w:pos="1260"/>
          <w:tab w:val="num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vor continua întreprinderea acţiunilor necesare în scopul încadrării </w:t>
      </w:r>
      <w:r w:rsidR="00341142" w:rsidRPr="0034114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la finele anului în limita numărului de unităţi de personal şi ale cheltuielilor de personal stabilite pentru bugetul raional pe anul 2016;</w:t>
      </w:r>
    </w:p>
    <w:p w:rsidR="00177ACB" w:rsidRPr="00341142" w:rsidRDefault="00177ACB" w:rsidP="00F5049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vor asigura publicarea integrală al raportului privind mersul execuţiei bugetului raional  pe 9 uni ale anului 2016 pe pagina web a Consiliului raional Vodă.</w:t>
      </w:r>
    </w:p>
    <w:p w:rsidR="002A2717" w:rsidRPr="00341142" w:rsidRDefault="002A2717" w:rsidP="002A2717">
      <w:pPr>
        <w:pStyle w:val="a6"/>
        <w:ind w:left="0" w:firstLine="0"/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3. Controlul executării prezentei decizii se atribuie domnului Nicolae Molozea, preşedintele raionului Ștefan Vodă.</w:t>
      </w:r>
    </w:p>
    <w:p w:rsidR="002A2717" w:rsidRPr="00341142" w:rsidRDefault="008752B6" w:rsidP="008752B6">
      <w:pPr>
        <w:pStyle w:val="a6"/>
        <w:ind w:left="0" w:firstLine="0"/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4</w:t>
      </w:r>
      <w:r w:rsidR="002A2717" w:rsidRPr="00341142">
        <w:rPr>
          <w:sz w:val="24"/>
          <w:szCs w:val="24"/>
          <w:lang w:val="ro-MO"/>
        </w:rPr>
        <w:t>. Prezenta decizie se aduce la cunoştinţă: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Oficiului teritorial Căuşeni al Cancelariei de Stat;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 xml:space="preserve">Ministerului Finanţelor al Republicii Moldova; 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Aparatului preşedintelui raionului;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Direcţiei finanţe;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Direcţiilor, secţiilor din subordinea Consiliului raional;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Inspectoratului Fiscal de Stat pe raionul Ştefan Vodă;</w:t>
      </w:r>
    </w:p>
    <w:p w:rsidR="002A2717" w:rsidRPr="00341142" w:rsidRDefault="002A2717" w:rsidP="002A2717">
      <w:pPr>
        <w:pStyle w:val="a6"/>
        <w:numPr>
          <w:ilvl w:val="0"/>
          <w:numId w:val="2"/>
        </w:numPr>
        <w:jc w:val="both"/>
        <w:rPr>
          <w:sz w:val="24"/>
          <w:szCs w:val="24"/>
          <w:lang w:val="ro-MO"/>
        </w:rPr>
      </w:pPr>
      <w:r w:rsidRPr="00341142">
        <w:rPr>
          <w:sz w:val="24"/>
          <w:szCs w:val="24"/>
          <w:lang w:val="ro-MO"/>
        </w:rPr>
        <w:t>Trezoreriei teritoriale Ştefan Vodă;</w:t>
      </w:r>
    </w:p>
    <w:p w:rsidR="002A2717" w:rsidRPr="00341142" w:rsidRDefault="002A2717" w:rsidP="002A27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Ştefan Vodă.</w:t>
      </w:r>
    </w:p>
    <w:p w:rsidR="008752B6" w:rsidRPr="00341142" w:rsidRDefault="008752B6" w:rsidP="00177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177ACB" w:rsidRPr="00341142" w:rsidRDefault="00177ACB" w:rsidP="00177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  </w:t>
      </w:r>
    </w:p>
    <w:p w:rsidR="00177ACB" w:rsidRPr="00341142" w:rsidRDefault="00177ACB" w:rsidP="0017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i/>
          <w:sz w:val="24"/>
          <w:szCs w:val="24"/>
          <w:lang w:val="ro-MO"/>
        </w:rPr>
        <w:t>Contrasemnează</w:t>
      </w:r>
      <w:r w:rsidRPr="00341142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177ACB" w:rsidRPr="00341142" w:rsidRDefault="00177ACB" w:rsidP="00177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Secretarul Consiliului raional                                          </w:t>
      </w:r>
      <w:r w:rsidR="008752B6"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</w:t>
      </w:r>
      <w:r w:rsidRPr="003411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Ion Ţurcan </w:t>
      </w:r>
    </w:p>
    <w:p w:rsidR="007620B8" w:rsidRPr="00341142" w:rsidRDefault="007620B8" w:rsidP="007620B8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E9563D" w:rsidRPr="00341142" w:rsidRDefault="00E9563D" w:rsidP="007620B8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  <w:sectPr w:rsidR="00E9563D" w:rsidRPr="00341142" w:rsidSect="008752B6">
          <w:pgSz w:w="11906" w:h="16838"/>
          <w:pgMar w:top="709" w:right="849" w:bottom="426" w:left="1417" w:header="708" w:footer="708" w:gutter="0"/>
          <w:cols w:space="708"/>
          <w:docGrid w:linePitch="360"/>
        </w:sectPr>
      </w:pPr>
    </w:p>
    <w:p w:rsidR="007620B8" w:rsidRPr="00341142" w:rsidRDefault="007620B8" w:rsidP="007620B8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41142">
        <w:rPr>
          <w:rFonts w:ascii="Times New Roman" w:hAnsi="Times New Roman" w:cs="Times New Roman"/>
          <w:b/>
          <w:lang w:val="ro-MO"/>
        </w:rPr>
        <w:lastRenderedPageBreak/>
        <w:t>Anexa nr. 1</w:t>
      </w:r>
    </w:p>
    <w:p w:rsidR="007620B8" w:rsidRPr="00341142" w:rsidRDefault="007620B8" w:rsidP="007620B8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la</w:t>
      </w:r>
      <w:r w:rsidRPr="00341142">
        <w:rPr>
          <w:rFonts w:ascii="Times New Roman" w:hAnsi="Times New Roman" w:cs="Times New Roman"/>
          <w:b/>
          <w:lang w:val="ro-MO"/>
        </w:rPr>
        <w:t xml:space="preserve"> </w:t>
      </w:r>
      <w:r w:rsidRPr="00341142">
        <w:rPr>
          <w:rFonts w:ascii="Times New Roman" w:hAnsi="Times New Roman" w:cs="Times New Roman"/>
          <w:lang w:val="ro-MO"/>
        </w:rPr>
        <w:t>decizia Consiliului raional Ştefan Vodă</w:t>
      </w:r>
    </w:p>
    <w:p w:rsidR="007620B8" w:rsidRPr="00341142" w:rsidRDefault="007620B8" w:rsidP="007620B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nr. ___ din ___.decembrie 2017</w:t>
      </w:r>
    </w:p>
    <w:p w:rsidR="00E9563D" w:rsidRPr="00341142" w:rsidRDefault="00E9563D" w:rsidP="00E9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E9563D" w:rsidRPr="00341142" w:rsidRDefault="00E9563D" w:rsidP="00E9563D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privind executarea veniturilor bugetului raional pe 9 luni ale anului 2017</w:t>
      </w:r>
    </w:p>
    <w:p w:rsidR="00E9563D" w:rsidRPr="00341142" w:rsidRDefault="00E9563D" w:rsidP="00E9563D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1103"/>
      </w:tblGrid>
      <w:tr w:rsidR="00E9563D" w:rsidRPr="00341142" w:rsidTr="00E9563D">
        <w:trPr>
          <w:trHeight w:val="600"/>
        </w:trPr>
        <w:tc>
          <w:tcPr>
            <w:tcW w:w="446" w:type="dxa"/>
            <w:vMerge w:val="restart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E9563D" w:rsidRPr="00341142" w:rsidRDefault="00E9563D" w:rsidP="0089120B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E9563D" w:rsidRPr="00341142" w:rsidRDefault="00341142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mii 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341142"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E9563D" w:rsidRPr="00341142" w:rsidTr="00E9563D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341142" w:rsidP="0089120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Impozit</w:t>
            </w:r>
            <w:r w:rsidR="00E9563D" w:rsidRPr="00341142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341142">
              <w:rPr>
                <w:rFonts w:ascii="Times New Roman" w:hAnsi="Times New Roman" w:cs="Times New Roman"/>
                <w:lang w:val="ro-MO"/>
              </w:rPr>
              <w:t>reținut</w:t>
            </w:r>
            <w:r w:rsidR="00E9563D" w:rsidRPr="00341142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6274,0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6274,0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4640,1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-1633,9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4182,2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+457,9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110,9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341142" w:rsidRPr="00341142">
              <w:rPr>
                <w:rFonts w:ascii="Times New Roman" w:hAnsi="Times New Roman" w:cs="Times New Roman"/>
                <w:lang w:val="ro-MO"/>
              </w:rPr>
              <w:t>plată</w:t>
            </w:r>
            <w:r w:rsidRPr="00341142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358,0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265,6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-92,4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290,5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-24,8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91,4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3,8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+3,8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+2,8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3,8 ori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-0,6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506,0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98,8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-407,2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19,5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146,8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67,3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-6,5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18,6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-3,5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29,8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3,3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54,7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+2,9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8,3 ori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3575,6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-3575,6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rPr>
          <w:trHeight w:val="495"/>
        </w:trPr>
        <w:tc>
          <w:tcPr>
            <w:tcW w:w="446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-89,4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rPr>
          <w:trHeight w:val="300"/>
        </w:trPr>
        <w:tc>
          <w:tcPr>
            <w:tcW w:w="446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26,9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-26,9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-4,9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-1,5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3,4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59,3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-20,7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+12,3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126,2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 încasată în bugetul local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-1,0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1471,0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1598,0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1133,6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-464,4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70,9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837,5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+296,2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135,4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398,3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314,3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-84,0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78,9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321,9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12,4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-77,6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13,7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59,8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-47,4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20,7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con-trol ale traficului rutier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190,0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-32,1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-3,8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94,8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-54,5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326,0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+3,9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101,2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+149,1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1,8 ori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2344,3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-2344,3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-0,5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16550,6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12089,7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6844,6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-5225,1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56,7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9829,1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-2965,1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69,8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119788,1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130870,8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88357,6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-42513,2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67,5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79844,8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+8512,8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110,7</w:t>
            </w: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90803,6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90803,6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65032,9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-25770,7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3331,1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3331,1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1638,9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-1692,2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49,2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1856,7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-748,1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71,3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27,0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21020,3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15414,9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-5605,4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73,3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cu destinație generală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269,6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197,7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-71,9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73,3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1758,7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1220,9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-537,8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69,4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E9563D" w:rsidRPr="00341142" w:rsidTr="00E9563D">
        <w:tc>
          <w:tcPr>
            <w:tcW w:w="44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E9563D" w:rsidRPr="00341142" w:rsidRDefault="00E9563D" w:rsidP="008912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136338,7</w:t>
            </w:r>
          </w:p>
        </w:tc>
        <w:tc>
          <w:tcPr>
            <w:tcW w:w="1236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142960,5</w:t>
            </w:r>
          </w:p>
        </w:tc>
        <w:tc>
          <w:tcPr>
            <w:tcW w:w="112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95222,2</w:t>
            </w:r>
          </w:p>
        </w:tc>
        <w:tc>
          <w:tcPr>
            <w:tcW w:w="125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-47738,3</w:t>
            </w:r>
          </w:p>
        </w:tc>
        <w:tc>
          <w:tcPr>
            <w:tcW w:w="769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66,6</w:t>
            </w:r>
          </w:p>
        </w:tc>
        <w:tc>
          <w:tcPr>
            <w:tcW w:w="123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89673,9</w:t>
            </w:r>
          </w:p>
        </w:tc>
        <w:tc>
          <w:tcPr>
            <w:tcW w:w="1015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+5548,3</w:t>
            </w:r>
          </w:p>
        </w:tc>
        <w:tc>
          <w:tcPr>
            <w:tcW w:w="1103" w:type="dxa"/>
          </w:tcPr>
          <w:p w:rsidR="00E9563D" w:rsidRPr="00341142" w:rsidRDefault="00E9563D" w:rsidP="0089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106,2</w:t>
            </w:r>
          </w:p>
        </w:tc>
      </w:tr>
    </w:tbl>
    <w:p w:rsidR="007620B8" w:rsidRPr="00341142" w:rsidRDefault="007620B8" w:rsidP="0017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B1A07" w:rsidRPr="00341142" w:rsidRDefault="008B1A07" w:rsidP="008B1A0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8B1A07" w:rsidRPr="00341142" w:rsidRDefault="008B1A07" w:rsidP="008B1A0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41142">
        <w:rPr>
          <w:rFonts w:ascii="Times New Roman" w:hAnsi="Times New Roman" w:cs="Times New Roman"/>
          <w:b/>
          <w:lang w:val="ro-MO"/>
        </w:rPr>
        <w:t>Anexa nr. 1-a</w:t>
      </w:r>
    </w:p>
    <w:p w:rsidR="008B1A07" w:rsidRPr="00341142" w:rsidRDefault="008B1A07" w:rsidP="008B1A07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la</w:t>
      </w:r>
      <w:r w:rsidRPr="00341142">
        <w:rPr>
          <w:rFonts w:ascii="Times New Roman" w:hAnsi="Times New Roman" w:cs="Times New Roman"/>
          <w:b/>
          <w:lang w:val="ro-MO"/>
        </w:rPr>
        <w:t xml:space="preserve"> </w:t>
      </w:r>
      <w:r w:rsidRPr="00341142">
        <w:rPr>
          <w:rFonts w:ascii="Times New Roman" w:hAnsi="Times New Roman" w:cs="Times New Roman"/>
          <w:lang w:val="ro-MO"/>
        </w:rPr>
        <w:t>decizia Consiliului raional Ştefan Vodă</w:t>
      </w:r>
    </w:p>
    <w:p w:rsidR="008B1A07" w:rsidRPr="00341142" w:rsidRDefault="008B1A07" w:rsidP="008B1A07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nr. ___ din ___.decembrie 2017</w:t>
      </w:r>
    </w:p>
    <w:p w:rsidR="0002455A" w:rsidRPr="00341142" w:rsidRDefault="0002455A" w:rsidP="00024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privind executarea veniturilor bugetului raionului pe 9 luni  ale anului 2017</w:t>
      </w: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1103"/>
      </w:tblGrid>
      <w:tr w:rsidR="0002455A" w:rsidRPr="00341142" w:rsidTr="0002455A">
        <w:trPr>
          <w:trHeight w:val="600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2455A" w:rsidRPr="00341142" w:rsidRDefault="00341142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 lei</w:t>
            </w:r>
          </w:p>
        </w:tc>
        <w:tc>
          <w:tcPr>
            <w:tcW w:w="2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341142"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2455A" w:rsidRPr="00341142" w:rsidTr="0002455A">
        <w:trPr>
          <w:trHeight w:val="213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341142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Impozit</w:t>
            </w:r>
            <w:r w:rsidR="0002455A" w:rsidRPr="00341142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341142">
              <w:rPr>
                <w:rFonts w:ascii="Times New Roman" w:hAnsi="Times New Roman" w:cs="Times New Roman"/>
                <w:lang w:val="ro-MO"/>
              </w:rPr>
              <w:t>reținut</w:t>
            </w:r>
            <w:r w:rsidR="0002455A" w:rsidRPr="00341142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16947,5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16947,5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12801,0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-4146,5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75,5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11491,6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+1309,4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111,4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341142" w:rsidRPr="00341142">
              <w:rPr>
                <w:rFonts w:ascii="Times New Roman" w:hAnsi="Times New Roman" w:cs="Times New Roman"/>
                <w:lang w:val="ro-MO"/>
              </w:rPr>
              <w:t>plată</w:t>
            </w:r>
            <w:r w:rsidRPr="00341142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940,0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940,0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939,6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972,2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-32,6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96,6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+9,0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+7,1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4,7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4958,5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4965,7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4431,2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-534,5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89,2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3924,8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+506,4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112,9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841,1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836,1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526,7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-309,4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63,0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657,4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-130,8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80,1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146,2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165,0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+18,8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112,8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102,9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+62,0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1,6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534,5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533,9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693,6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+159,7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129,9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437,8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+255,9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1,6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186,1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183,9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147,6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-36,3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80,3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143,2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+4,4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103,1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90,2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90,4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165,1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+74,7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182,6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68,9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+96,3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2,4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283,0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392,2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356,1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-36,1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90,8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237,9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+118,2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1,5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persoa-nele juridice și fizice înregistrate în calitate de </w:t>
            </w:r>
            <w:r w:rsidR="00341142">
              <w:rPr>
                <w:rFonts w:ascii="Times New Roman" w:hAnsi="Times New Roman" w:cs="Times New Roman"/>
                <w:lang w:val="ro-MO"/>
              </w:rPr>
              <w:t>întreprin-ză</w:t>
            </w:r>
            <w:r w:rsidR="00341142" w:rsidRPr="00341142">
              <w:rPr>
                <w:rFonts w:ascii="Times New Roman" w:hAnsi="Times New Roman" w:cs="Times New Roman"/>
                <w:lang w:val="ro-MO"/>
              </w:rPr>
              <w:t>tor</w:t>
            </w:r>
            <w:r w:rsidRPr="00341142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239,0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239,8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317,8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+78,0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132,6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142,8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+175,0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2,2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398,0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398,3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431,3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+33,0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108,3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289,3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+142,0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1,5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3,6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30,6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+27,0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8,5 ori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+27,6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10,2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4480,4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4495,4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3011,8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-1483,6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67,0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2950,0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+61,8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102,1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129,2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129,2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455,2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+326,0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3,5 ori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292,8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+162,5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1,6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506,0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506,0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98,8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-407,2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19,5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146,8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-48,0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67,3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-6,5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18,6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-3,5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29,8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54,7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8,2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4910,0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3575,6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-3575,6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Granturi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curente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bugetul local de niv.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132123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161,0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121,8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-39,2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75,7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+121,8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Defalcări de la profitul net al întreprinderilor de stat (municipale)în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141232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Defalcări de la profitul net al întreprinderilor de stat (municipale)în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141233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669,0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669,0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222,7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-446,3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33,3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225,7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98,7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27,3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-89,4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1090,8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1151,2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726,7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-424,5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421,0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+305,6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1,7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26,9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-26,9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346,7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347,2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316,2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-31,0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91,1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153,2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+163,0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2,1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4,7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-4,7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3,4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37,7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37,7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13,2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-24,5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34,9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10,4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+2,8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1,3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59,3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-20,7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74,2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47,0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1,3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Mijloace încasate în bugetul local de nivelul I în legătură cu excluderea terenurilor din circuitul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agric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940,3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-940,3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0,9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142,0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143,6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129,4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-14,2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90,1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67,2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+62,2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1,9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6683,1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7231,7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4804,8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-2426,9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66,4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4043,0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+761,8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118,8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422,5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424,3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328,2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-96,1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77,3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330,6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99,3</w:t>
            </w:r>
          </w:p>
        </w:tc>
      </w:tr>
      <w:tr w:rsidR="0002455A" w:rsidRPr="00341142" w:rsidTr="0002455A">
        <w:trPr>
          <w:trHeight w:val="57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90,0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-77,6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13,7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59,8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-47,4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20,7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492,2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499,6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161,2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-338,4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32,3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146,8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14,4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109,8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67,9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-32,1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67,9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71,6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94,8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-4,2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încasate în bugetul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341142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</w:t>
            </w:r>
            <w:r w:rsidR="0002455A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voluntare pentru cheltuieli curente din surse interne pentru instituțiile bugetare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93,3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-93,3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361,7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363,7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+1,9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100,6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317,5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+46,2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114,6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10,6</w:t>
            </w: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87,9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+6,1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2,3 ori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537,7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170,6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-367,0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31,7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1181,2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-1010,6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14,4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2344,3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2459,8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-2459,8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-0,5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568,9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640,9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460,9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-180,0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71,9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189,1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+271,8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243,7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58,0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117,0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-117,0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48737,5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45891,6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32494,0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-13397,6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70,8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33815,7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-1321,7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96,1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183815,8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223501,7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143255,1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-80246,6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64,1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123768,1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+19487,0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115,7</w:t>
            </w: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90803,6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90803,6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65032,8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-25770,8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71,6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3331,1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3331,1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1638,9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-1692,2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49,2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2604,8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2604,8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1856,7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-748,1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71,3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11082,7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2995,6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-8087,1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27,0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21020,3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21020,3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15414,9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-5605,4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73,3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cu destinație generală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269,6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269,6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197,7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-71,9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73,1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rPr>
          <w:trHeight w:val="1322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46485,0</w:t>
            </w: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47366,8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33666,1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-13700,7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71,1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rPr>
          <w:trHeight w:val="870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         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7591,8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2547,6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-5044,2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33,6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rPr>
          <w:trHeight w:val="675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2009,2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1039,2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-970,0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51,7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14167,2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14167,2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11333,8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-2833,4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general din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compensare între bugetul de stat și buge-tele locale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1096,3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1096,3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877,1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-219,2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1758,7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1758,7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1220,9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-537,8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69,4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2279,2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20399,6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5433,8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-14965,8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232553,3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269393,3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175749,1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-93644,2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157583,8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+18165,3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111,5</w:t>
            </w:r>
          </w:p>
        </w:tc>
      </w:tr>
    </w:tbl>
    <w:p w:rsidR="0002455A" w:rsidRPr="00341142" w:rsidRDefault="0002455A" w:rsidP="00024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41142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02455A" w:rsidRPr="00341142" w:rsidRDefault="0002455A" w:rsidP="000245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02455A" w:rsidRPr="00341142" w:rsidRDefault="0002455A" w:rsidP="0002455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1103"/>
      </w:tblGrid>
      <w:tr w:rsidR="0002455A" w:rsidRPr="00341142" w:rsidTr="0002455A">
        <w:trPr>
          <w:trHeight w:val="600"/>
        </w:trPr>
        <w:tc>
          <w:tcPr>
            <w:tcW w:w="446" w:type="dxa"/>
            <w:vMerge w:val="restart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2455A" w:rsidRPr="00341142" w:rsidRDefault="0002455A" w:rsidP="00C50AAB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   pe an</w:t>
            </w:r>
          </w:p>
        </w:tc>
        <w:tc>
          <w:tcPr>
            <w:tcW w:w="1236" w:type="dxa"/>
            <w:vMerge w:val="restart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9 luni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 lei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341142"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34114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2455A" w:rsidRPr="00341142" w:rsidTr="0002455A">
        <w:trPr>
          <w:trHeight w:val="4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În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(+;-)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341142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Impozit</w:t>
            </w:r>
            <w:r w:rsidR="0002455A" w:rsidRPr="00341142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341142">
              <w:rPr>
                <w:rFonts w:ascii="Times New Roman" w:hAnsi="Times New Roman" w:cs="Times New Roman"/>
                <w:lang w:val="ro-MO"/>
              </w:rPr>
              <w:t>reținut</w:t>
            </w:r>
            <w:r w:rsidR="0002455A" w:rsidRPr="00341142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lang w:val="ro-MO"/>
              </w:rPr>
              <w:t>5668,00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5668,0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4182,2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-1485,8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73,8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3699,3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+482,9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113,1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341142" w:rsidRPr="00341142">
              <w:rPr>
                <w:rFonts w:ascii="Times New Roman" w:hAnsi="Times New Roman" w:cs="Times New Roman"/>
                <w:lang w:val="ro-MO"/>
              </w:rPr>
              <w:t>plată</w:t>
            </w:r>
            <w:r w:rsidRPr="00341142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290,5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+101,5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153,7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149,7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+140,8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1,9 ori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146,8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-383,2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27,7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-203,6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41,9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122,0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4,7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-4,3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3575,6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-1309,4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73,2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2983,6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+592,0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27,3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+27,3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+27,3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26,9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truire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49,5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65,8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-18,8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71,4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 încasată în bugetul local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1168,0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1244,2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837,5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-406,7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67,3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1236,7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-399,2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67,7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patrim. public</w:t>
            </w: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321,9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-94,6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77,3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+321,9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59,8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+59,8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+59,8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34114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-43,4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62,3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89,8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-18,2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79,7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96,4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+54,5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34114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179,6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98,5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+176,9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2207,0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-2207,0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-73,7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II 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+0,5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+0,5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13082.4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15601.7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9829.4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-5772,6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63,0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9492,7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+336,4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103,5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1679,4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4198,7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1797,6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-2701,1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35,7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1302,5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+195,1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115,0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Transferuri primite în cadrul BPN,  total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117601,6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79844,8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-37756,8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74090,1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-5754,7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107,8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92017,7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64922,9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-26819,1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70,8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2610,1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2758,6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1528,2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-1230,4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55,4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2457,2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1806,1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-647,7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73,6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10355,6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-8504,6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54,9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1745,3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1232,0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-555,0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833,9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-833,9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455A" w:rsidRPr="00341142" w:rsidTr="0002455A">
        <w:tc>
          <w:tcPr>
            <w:tcW w:w="44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2455A" w:rsidRPr="00341142" w:rsidRDefault="0002455A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130772,9</w:t>
            </w:r>
          </w:p>
        </w:tc>
        <w:tc>
          <w:tcPr>
            <w:tcW w:w="1236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133203,3</w:t>
            </w:r>
          </w:p>
        </w:tc>
        <w:tc>
          <w:tcPr>
            <w:tcW w:w="112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89673,9</w:t>
            </w:r>
          </w:p>
        </w:tc>
        <w:tc>
          <w:tcPr>
            <w:tcW w:w="125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-43529,4</w:t>
            </w:r>
          </w:p>
        </w:tc>
        <w:tc>
          <w:tcPr>
            <w:tcW w:w="769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67,3</w:t>
            </w:r>
          </w:p>
        </w:tc>
        <w:tc>
          <w:tcPr>
            <w:tcW w:w="123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83582,8</w:t>
            </w:r>
          </w:p>
        </w:tc>
        <w:tc>
          <w:tcPr>
            <w:tcW w:w="1015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+6091,1</w:t>
            </w:r>
          </w:p>
        </w:tc>
        <w:tc>
          <w:tcPr>
            <w:tcW w:w="1103" w:type="dxa"/>
          </w:tcPr>
          <w:p w:rsidR="0002455A" w:rsidRPr="00341142" w:rsidRDefault="0002455A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107,3</w:t>
            </w:r>
          </w:p>
        </w:tc>
      </w:tr>
    </w:tbl>
    <w:p w:rsidR="0002455A" w:rsidRPr="00341142" w:rsidRDefault="0002455A" w:rsidP="0002455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6FA2" w:rsidRPr="00341142" w:rsidRDefault="009B6FA2" w:rsidP="0017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3419C" w:rsidRPr="00341142" w:rsidRDefault="0003419C" w:rsidP="0017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3419C" w:rsidRPr="00341142" w:rsidRDefault="0003419C" w:rsidP="0017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2378F" w:rsidRPr="00341142" w:rsidRDefault="0082378F" w:rsidP="0003419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  <w:sectPr w:rsidR="0082378F" w:rsidRPr="00341142" w:rsidSect="00E9563D">
          <w:pgSz w:w="16838" w:h="11906" w:orient="landscape"/>
          <w:pgMar w:top="568" w:right="709" w:bottom="851" w:left="567" w:header="709" w:footer="709" w:gutter="0"/>
          <w:cols w:space="708"/>
          <w:docGrid w:linePitch="360"/>
        </w:sectPr>
      </w:pPr>
    </w:p>
    <w:p w:rsidR="0003419C" w:rsidRPr="00341142" w:rsidRDefault="0003419C" w:rsidP="0003419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41142">
        <w:rPr>
          <w:rFonts w:ascii="Times New Roman" w:hAnsi="Times New Roman" w:cs="Times New Roman"/>
          <w:b/>
          <w:lang w:val="ro-MO"/>
        </w:rPr>
        <w:t>Anexa nr. 2</w:t>
      </w:r>
    </w:p>
    <w:p w:rsidR="0003419C" w:rsidRPr="00341142" w:rsidRDefault="0003419C" w:rsidP="0003419C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la</w:t>
      </w:r>
      <w:r w:rsidRPr="00341142">
        <w:rPr>
          <w:rFonts w:ascii="Times New Roman" w:hAnsi="Times New Roman" w:cs="Times New Roman"/>
          <w:b/>
          <w:lang w:val="ro-MO"/>
        </w:rPr>
        <w:t xml:space="preserve"> </w:t>
      </w:r>
      <w:r w:rsidRPr="00341142">
        <w:rPr>
          <w:rFonts w:ascii="Times New Roman" w:hAnsi="Times New Roman" w:cs="Times New Roman"/>
          <w:lang w:val="ro-MO"/>
        </w:rPr>
        <w:t>decizia Consiliului raional Ştefan Vodă</w:t>
      </w:r>
    </w:p>
    <w:p w:rsidR="0003419C" w:rsidRPr="00341142" w:rsidRDefault="0003419C" w:rsidP="0003419C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nr. ___ din ___.decembrie 2017</w:t>
      </w:r>
    </w:p>
    <w:p w:rsidR="008C4B3F" w:rsidRPr="00341142" w:rsidRDefault="008C4B3F" w:rsidP="00AF6C4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8C4B3F" w:rsidRPr="00341142" w:rsidRDefault="008C4B3F" w:rsidP="00AF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8C4B3F" w:rsidRPr="00341142" w:rsidRDefault="008C4B3F" w:rsidP="00AF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pe  9 luni ale anului 2017</w:t>
      </w:r>
    </w:p>
    <w:tbl>
      <w:tblPr>
        <w:tblStyle w:val="a9"/>
        <w:tblW w:w="10915" w:type="dxa"/>
        <w:tblInd w:w="-601" w:type="dxa"/>
        <w:tblLayout w:type="fixed"/>
        <w:tblLook w:val="04A0"/>
      </w:tblPr>
      <w:tblGrid>
        <w:gridCol w:w="3261"/>
        <w:gridCol w:w="709"/>
        <w:gridCol w:w="1134"/>
        <w:gridCol w:w="1275"/>
        <w:gridCol w:w="1134"/>
        <w:gridCol w:w="1134"/>
        <w:gridCol w:w="1276"/>
        <w:gridCol w:w="992"/>
      </w:tblGrid>
      <w:tr w:rsidR="008C4B3F" w:rsidRPr="00341142" w:rsidTr="008C4B3F">
        <w:trPr>
          <w:trHeight w:val="923"/>
        </w:trPr>
        <w:tc>
          <w:tcPr>
            <w:tcW w:w="3261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Exec.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 luni 2016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 9 luni 2017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151618,7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-54402,1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151602,1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-54385,5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64,1</w:t>
            </w:r>
          </w:p>
        </w:tc>
      </w:tr>
      <w:tr w:rsidR="008C4B3F" w:rsidRPr="00341142" w:rsidTr="008C4B3F">
        <w:trPr>
          <w:trHeight w:val="334"/>
        </w:trPr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8C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4031,0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10151,3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6693,9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-3457,4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2215,0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5791,1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4720,5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-1070,6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5791,1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4720,5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-1070,6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-972,8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819,4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341142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8C4B3F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-73,5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Ordine publică  si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națională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99.9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Ordine si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publică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8C4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AF6C4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Servicii în domeniul </w:t>
            </w:r>
            <w:r w:rsidR="00AF6C4A"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conomiei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3116,5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4149,2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-8869,3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AF6C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-322,9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-211,3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2107,3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2107,3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-252,8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60,7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sănătăţii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341142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Dezv-rea și modernizarea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domen.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ocrotirii sănătății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2517,1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3955,3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2569,2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-1386,1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8C4B3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34,4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8C4B3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naţional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8C4B3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Consiliului raional)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1779,8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2752,8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-780,4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1716,6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341142" w:rsidP="00C50AAB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62687,8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104868,4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71360,2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-33508,2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1547,3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2979,8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1595,8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1547,3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2296,9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3951,1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2858,8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-1092,3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72,4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</w:t>
            </w:r>
          </w:p>
          <w:p w:rsidR="008C4B3F" w:rsidRPr="00341142" w:rsidRDefault="008C4B3F" w:rsidP="008C4B3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 Ștefan Vodă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2296,5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-747,2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-345,1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33245,7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55556,2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40212,4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-15343,8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72,4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33237,9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47343,0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52004,6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38320,1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-13684,5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1791,2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-2713,7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-2461,7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16236,5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25631,7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16567,7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-9064,0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318,1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15440,0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20991,0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22501,8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14833,4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-519,8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-330,6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-330,6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6805,3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11207,1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7768,9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-3438,2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3092,6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-1318,4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2012,4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1107,9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-870,2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 copiilor in Romania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AF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10639,5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18710,2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11185,0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-7525,2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59,8</w:t>
            </w:r>
          </w:p>
        </w:tc>
      </w:tr>
      <w:tr w:rsidR="008C4B3F" w:rsidRPr="00341142" w:rsidTr="008C4B3F">
        <w:trPr>
          <w:trHeight w:val="518"/>
        </w:trPr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523,4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523,4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-443,4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3472,1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6715,1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3841,3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-2873,8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691,4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-554,4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-499,9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67,6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816,0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66,3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populație prin acord.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unice  p/u construcț.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s-au proc.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 locativ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4481,8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7278,7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4547,8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62,5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1218,3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-605,5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25,4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341142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C4B3F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21,4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-524,0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62,2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918,6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-817,9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61,8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populației(ajutoare populației)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1196,5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-761,9</w:t>
            </w:r>
          </w:p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56,3</w:t>
            </w:r>
          </w:p>
        </w:tc>
      </w:tr>
      <w:tr w:rsidR="008C4B3F" w:rsidRPr="00341142" w:rsidTr="008C4B3F">
        <w:trPr>
          <w:trHeight w:val="420"/>
        </w:trPr>
        <w:tc>
          <w:tcPr>
            <w:tcW w:w="3261" w:type="dxa"/>
          </w:tcPr>
          <w:p w:rsidR="008C4B3F" w:rsidRPr="00341142" w:rsidRDefault="00341142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8C4B3F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41,7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-376,8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EF0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1,1</w:t>
            </w:r>
          </w:p>
        </w:tc>
      </w:tr>
      <w:tr w:rsidR="008C4B3F" w:rsidRPr="00341142" w:rsidTr="008C4B3F">
        <w:tc>
          <w:tcPr>
            <w:tcW w:w="3261" w:type="dxa"/>
          </w:tcPr>
          <w:p w:rsidR="008C4B3F" w:rsidRPr="00341142" w:rsidRDefault="008C4B3F" w:rsidP="00C50AA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 ( TDS protecția socială)</w:t>
            </w:r>
          </w:p>
        </w:tc>
        <w:tc>
          <w:tcPr>
            <w:tcW w:w="709" w:type="dxa"/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B3F" w:rsidRPr="00341142" w:rsidRDefault="008C4B3F" w:rsidP="00C5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8C4B3F" w:rsidRPr="00341142" w:rsidRDefault="008C4B3F" w:rsidP="008C4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3419C" w:rsidRPr="00341142" w:rsidRDefault="0003419C" w:rsidP="008C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55A36" w:rsidRPr="00341142" w:rsidRDefault="00555A36" w:rsidP="00555A3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41142">
        <w:rPr>
          <w:rFonts w:ascii="Times New Roman" w:hAnsi="Times New Roman" w:cs="Times New Roman"/>
          <w:b/>
          <w:lang w:val="ro-MO"/>
        </w:rPr>
        <w:t>Anexa nr. 3</w:t>
      </w:r>
    </w:p>
    <w:p w:rsidR="00555A36" w:rsidRPr="00341142" w:rsidRDefault="00555A36" w:rsidP="00555A36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la</w:t>
      </w:r>
      <w:r w:rsidRPr="00341142">
        <w:rPr>
          <w:rFonts w:ascii="Times New Roman" w:hAnsi="Times New Roman" w:cs="Times New Roman"/>
          <w:b/>
          <w:lang w:val="ro-MO"/>
        </w:rPr>
        <w:t xml:space="preserve"> </w:t>
      </w:r>
      <w:r w:rsidRPr="00341142">
        <w:rPr>
          <w:rFonts w:ascii="Times New Roman" w:hAnsi="Times New Roman" w:cs="Times New Roman"/>
          <w:lang w:val="ro-MO"/>
        </w:rPr>
        <w:t>decizia Consiliului raional Ştefan Vodă</w:t>
      </w:r>
    </w:p>
    <w:p w:rsidR="00555A36" w:rsidRPr="00341142" w:rsidRDefault="00555A36" w:rsidP="00555A36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41142">
        <w:rPr>
          <w:rFonts w:ascii="Times New Roman" w:hAnsi="Times New Roman" w:cs="Times New Roman"/>
          <w:lang w:val="ro-MO"/>
        </w:rPr>
        <w:t>nr. ___ din ___.decembrie 2017</w:t>
      </w:r>
    </w:p>
    <w:p w:rsidR="00FA21C8" w:rsidRPr="00341142" w:rsidRDefault="00FA21C8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FA21C8" w:rsidRPr="00341142" w:rsidRDefault="00FA21C8" w:rsidP="00F3431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</w:t>
      </w:r>
      <w:r w:rsidR="00F34313" w:rsidRPr="0034114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341142">
        <w:rPr>
          <w:rFonts w:ascii="Times New Roman" w:hAnsi="Times New Roman" w:cs="Times New Roman"/>
          <w:b/>
          <w:sz w:val="28"/>
          <w:szCs w:val="28"/>
          <w:lang w:val="ro-MO"/>
        </w:rPr>
        <w:t>pe 9 luni ale anului 2017</w:t>
      </w:r>
    </w:p>
    <w:tbl>
      <w:tblPr>
        <w:tblStyle w:val="a9"/>
        <w:tblW w:w="10774" w:type="dxa"/>
        <w:tblInd w:w="-318" w:type="dxa"/>
        <w:tblLayout w:type="fixed"/>
        <w:tblLook w:val="04A0"/>
      </w:tblPr>
      <w:tblGrid>
        <w:gridCol w:w="3261"/>
        <w:gridCol w:w="851"/>
        <w:gridCol w:w="1134"/>
        <w:gridCol w:w="1134"/>
        <w:gridCol w:w="1134"/>
        <w:gridCol w:w="1134"/>
        <w:gridCol w:w="1134"/>
        <w:gridCol w:w="992"/>
      </w:tblGrid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Exec. 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 9 luni 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FA21C8" w:rsidRPr="00341142" w:rsidRDefault="00FA21C8" w:rsidP="00DE42AD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 luni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FA21C8" w:rsidRPr="00341142" w:rsidRDefault="00FA21C8" w:rsidP="00DE42AD">
            <w:pPr>
              <w:ind w:left="-229" w:right="-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Exec.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 xml:space="preserve">Cheltuieli </w:t>
            </w: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151618,7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-54402,1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64,1</w:t>
            </w:r>
          </w:p>
        </w:tc>
      </w:tr>
      <w:tr w:rsidR="00FA21C8" w:rsidRPr="00341142" w:rsidTr="00F34313">
        <w:trPr>
          <w:trHeight w:val="243"/>
        </w:trPr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Cheltuieli recurente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151602,1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-54385,5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64,1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4031,0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10151,3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6693,9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-3457,4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5791,1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-1070,6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81,5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50,8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-549,2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23,2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F3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-73,5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Ordine publică şi securitate naţionale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-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Poliţie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F3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3116,5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-8869,3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60,3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60,6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F3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-252,8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60,7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F3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domen.</w:t>
            </w:r>
            <w:r w:rsid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sănăt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F3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și odihna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2517,1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3955,3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2569,2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-1386,1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-780,4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71,7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-315,3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47,4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341142" w:rsidP="00F3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62687,8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104868,4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71360,2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-33508,2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341142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FA21C8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3951,1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-1092,3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72,4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341142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FA21C8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35305,5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55311,9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60061,1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42003,6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-18057,5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341142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FA21C8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16236,5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25631,7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16567,7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64,6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341142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FA21C8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7820,4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-3579,8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68,6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-330,6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53,5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F343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10639,5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18710,2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11185,0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-7525,2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59,8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341142"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4481,8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6956,6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7278,7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4547,8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63,5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3472,1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6715,1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3841,3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-2873,8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57,2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excluziunii sociale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-817,9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61,8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A21C8" w:rsidRPr="00341142" w:rsidTr="007358CF">
        <w:tc>
          <w:tcPr>
            <w:tcW w:w="3261" w:type="dxa"/>
          </w:tcPr>
          <w:p w:rsidR="00FA21C8" w:rsidRPr="00341142" w:rsidRDefault="00FA21C8" w:rsidP="00DE42A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Rambursarea alocațiilor din anii precedenți    (TDS protecția socială)</w:t>
            </w:r>
          </w:p>
        </w:tc>
        <w:tc>
          <w:tcPr>
            <w:tcW w:w="851" w:type="dxa"/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+670,2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1C8" w:rsidRPr="00341142" w:rsidRDefault="00FA21C8" w:rsidP="00D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4114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FA21C8" w:rsidRPr="00341142" w:rsidRDefault="00FA21C8" w:rsidP="00FA21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F0FF4" w:rsidRPr="00341142" w:rsidRDefault="00EF0FF4" w:rsidP="008C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F0FF4" w:rsidRPr="00341142" w:rsidSect="008C4B3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B03"/>
    <w:multiLevelType w:val="hybridMultilevel"/>
    <w:tmpl w:val="E4040ACC"/>
    <w:lvl w:ilvl="0" w:tplc="555888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F23475F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56186"/>
    <w:rsid w:val="0000013F"/>
    <w:rsid w:val="0001377C"/>
    <w:rsid w:val="0002455A"/>
    <w:rsid w:val="0003419C"/>
    <w:rsid w:val="00177ACB"/>
    <w:rsid w:val="001C50D1"/>
    <w:rsid w:val="002A2717"/>
    <w:rsid w:val="00341142"/>
    <w:rsid w:val="003423C8"/>
    <w:rsid w:val="00456186"/>
    <w:rsid w:val="00555A36"/>
    <w:rsid w:val="00592E15"/>
    <w:rsid w:val="005B091E"/>
    <w:rsid w:val="00656200"/>
    <w:rsid w:val="007358CF"/>
    <w:rsid w:val="007620B8"/>
    <w:rsid w:val="0082378F"/>
    <w:rsid w:val="008752B6"/>
    <w:rsid w:val="008B1A07"/>
    <w:rsid w:val="008C4B3F"/>
    <w:rsid w:val="009B6FA2"/>
    <w:rsid w:val="009E0127"/>
    <w:rsid w:val="00A923BE"/>
    <w:rsid w:val="00AF6C4A"/>
    <w:rsid w:val="00DC19FD"/>
    <w:rsid w:val="00E9563D"/>
    <w:rsid w:val="00EF0FF4"/>
    <w:rsid w:val="00F34313"/>
    <w:rsid w:val="00F5049B"/>
    <w:rsid w:val="00FA21C8"/>
    <w:rsid w:val="00F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6"/>
  </w:style>
  <w:style w:type="paragraph" w:styleId="1">
    <w:name w:val="heading 1"/>
    <w:basedOn w:val="a"/>
    <w:next w:val="a"/>
    <w:link w:val="10"/>
    <w:uiPriority w:val="9"/>
    <w:qFormat/>
    <w:rsid w:val="0045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561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rsid w:val="0045618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45618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A271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A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A2717"/>
    <w:pPr>
      <w:ind w:left="720"/>
      <w:contextualSpacing/>
    </w:pPr>
  </w:style>
  <w:style w:type="table" w:styleId="a9">
    <w:name w:val="Table Grid"/>
    <w:basedOn w:val="a1"/>
    <w:uiPriority w:val="59"/>
    <w:rsid w:val="00E956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C4B3F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959C-A55F-436A-B4B4-F2AD954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2017-12-06T07:17:00Z</dcterms:created>
  <dcterms:modified xsi:type="dcterms:W3CDTF">2017-12-06T07:17:00Z</dcterms:modified>
</cp:coreProperties>
</file>